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w:t>
      </w:r>
    </w:p>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w:t>
      </w:r>
    </w:p>
    <w:tbl>
      <w:tblPr>
        <w:tblW w:w="900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6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tbl>
      <w:tblPr>
        <w:tblW w:w="3350" w:type="dxa"/>
        <w:jc w:val="left"/>
        <w:tblInd w:w="0" w:type="dxa"/>
        <w:tblLayout w:type="fixed"/>
        <w:tblCellMar>
          <w:top w:w="28" w:type="dxa"/>
          <w:left w:w="28" w:type="dxa"/>
          <w:bottom w:w="28" w:type="dxa"/>
          <w:right w:w="28" w:type="dxa"/>
        </w:tblCellMar>
      </w:tblPr>
      <w:tblGrid>
        <w:gridCol w:w="841"/>
        <w:gridCol w:w="740"/>
        <w:gridCol w:w="743"/>
        <w:gridCol w:w="109"/>
        <w:gridCol w:w="109"/>
        <w:gridCol w:w="109"/>
        <w:gridCol w:w="109"/>
        <w:gridCol w:w="109"/>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For the transition period from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Commission File No. 001-16427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 xml:space="preserve">Fidelity National Information Services,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Georgia 37-1490331 </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 (I.R.S. Employer Identification No.)</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347 Riverside Avenue </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Jacksonville, Florida 32202 </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(Zip Code)</w: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(904) 438-6000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bl>
      <w:tblPr>
        <w:tblW w:w="7685" w:type="dxa"/>
        <w:jc w:val="center"/>
        <w:tblInd w:w="0" w:type="dxa"/>
        <w:tblLayout w:type="fixed"/>
        <w:tblCellMar>
          <w:top w:w="28" w:type="dxa"/>
          <w:left w:w="28" w:type="dxa"/>
          <w:bottom w:w="28" w:type="dxa"/>
          <w:right w:w="28" w:type="dxa"/>
        </w:tblCellMar>
      </w:tblPr>
      <w:tblGrid>
        <w:gridCol w:w="1151"/>
        <w:gridCol w:w="1014"/>
        <w:gridCol w:w="1014"/>
        <w:gridCol w:w="266"/>
        <w:gridCol w:w="266"/>
        <w:gridCol w:w="266"/>
        <w:gridCol w:w="275"/>
        <w:gridCol w:w="275"/>
        <w:gridCol w:w="275"/>
        <w:gridCol w:w="266"/>
        <w:gridCol w:w="266"/>
        <w:gridCol w:w="266"/>
        <w:gridCol w:w="611"/>
        <w:gridCol w:w="611"/>
        <w:gridCol w:w="863"/>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768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Symbol(s)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1.500% Senior Notes due 2027</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FIS27</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2028</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FIS28</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2.250% Senior Notes due 2029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FIS29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2.000% Senior Notes due 2030</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FIS30</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3.360% Senior Notes due 2031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2.950% Senior Notes due 2039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FIS39</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(Title of Class)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587"/>
        <w:gridCol w:w="516"/>
        <w:gridCol w:w="518"/>
        <w:gridCol w:w="109"/>
        <w:gridCol w:w="109"/>
        <w:gridCol w:w="109"/>
        <w:gridCol w:w="407"/>
        <w:gridCol w:w="407"/>
        <w:gridCol w:w="409"/>
        <w:gridCol w:w="109"/>
        <w:gridCol w:w="109"/>
        <w:gridCol w:w="109"/>
        <w:gridCol w:w="593"/>
        <w:gridCol w:w="593"/>
        <w:gridCol w:w="595"/>
        <w:gridCol w:w="645"/>
        <w:gridCol w:w="645"/>
        <w:gridCol w:w="648"/>
        <w:gridCol w:w="109"/>
        <w:gridCol w:w="109"/>
        <w:gridCol w:w="109"/>
        <w:gridCol w:w="651"/>
        <w:gridCol w:w="651"/>
        <w:gridCol w:w="654"/>
        <w:gridCol w:w="109"/>
        <w:gridCol w:w="109"/>
        <w:gridCol w:w="109"/>
        <w:gridCol w:w="109"/>
        <w:gridCol w:w="109"/>
        <w:gridCol w:w="16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Non-accelerated filer </w:t>
            </w:r>
            <w:r>
              <w:rPr>
                <w:color w:val="000000"/>
              </w:rPr>
              <w:t>☐</w:t>
            </w:r>
          </w:p>
          <w:p>
            <w:pPr>
              <w:pStyle w:val="TableContents"/>
              <w:bidi w:val="0"/>
              <w:spacing w:before="0" w:after="0"/>
              <w:jc w:val="center"/>
              <w:rPr/>
            </w:pPr>
            <w:r>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w:t>
      </w:r>
    </w:p>
    <w:p>
      <w:pPr>
        <w:pStyle w:val="TextBody"/>
        <w:bidi w:val="0"/>
        <w:spacing w:lineRule="auto" w:line="288" w:before="0" w:after="0"/>
        <w:jc w:val="left"/>
        <w:rPr/>
      </w:pPr>
      <w:r>
        <w:rPr>
          <w:rFonts w:ascii="Times New Roman;serif" w:hAnsi="Times New Roman;serif"/>
          <w:b w:val="false"/>
          <w:color w:val="000000"/>
          <w:sz w:val="16"/>
        </w:rPr>
        <w:t xml:space="preserve">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w:t>
      </w:r>
    </w:p>
    <w:p>
      <w:pPr>
        <w:pStyle w:val="TextBody"/>
        <w:bidi w:val="0"/>
        <w:spacing w:lineRule="auto" w:line="288" w:before="0" w:after="0"/>
        <w:jc w:val="left"/>
        <w:rPr/>
      </w:pPr>
      <w:r>
        <w:rPr>
          <w:rFonts w:ascii="Times New Roman;serif" w:hAnsi="Times New Roman;serif"/>
          <w:b w:val="false"/>
          <w:color w:val="000000"/>
          <w:sz w:val="16"/>
        </w:rPr>
        <w:t xml:space="preserve">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aggregate market value of the registrant's common stock held by nonaffiliates was $42,560,250,917 based on the closing sale price of $81.41 on that date as reported by the New York Stock Exchange. For the purposes of the foregoing sentence only, all directors and executive officers of the registrant were assumed to be affiliates. The number of shares outstanding of the registrant's common stock, $0.01 par value per share, was 514,403,688 as of February 20,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information in Part III hereof is incorporated herein by reference to the registrant’s Proxy Statement on Schedule 14A for the fiscal year ended December 31, 2025, to be filed within 120 days after the close of the fiscal year that is the subject of this Report.</w:t>
      </w:r>
    </w:p>
    <w:p>
      <w:pPr>
        <w:pStyle w:val="TextBody"/>
        <w:bidi w:val="0"/>
        <w:spacing w:before="0" w:after="0"/>
        <w:ind w:left="0" w:right="0" w:firstLine="36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FIDELITY NATIONAL INFORMATION SERVICES,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 FORM 10-K ANNUAL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TABLE OF CONTENTS </w:t>
      </w:r>
    </w:p>
    <w:tbl>
      <w:tblPr>
        <w:tblW w:w="9047" w:type="dxa"/>
        <w:jc w:val="center"/>
        <w:tblInd w:w="0" w:type="dxa"/>
        <w:tblLayout w:type="fixed"/>
        <w:tblCellMar>
          <w:top w:w="28" w:type="dxa"/>
          <w:left w:w="28" w:type="dxa"/>
          <w:bottom w:w="28" w:type="dxa"/>
          <w:right w:w="28" w:type="dxa"/>
        </w:tblCellMar>
      </w:tblPr>
      <w:tblGrid>
        <w:gridCol w:w="266"/>
        <w:gridCol w:w="233"/>
        <w:gridCol w:w="237"/>
        <w:gridCol w:w="2594"/>
        <w:gridCol w:w="2594"/>
        <w:gridCol w:w="2612"/>
        <w:gridCol w:w="149"/>
        <w:gridCol w:w="149"/>
        <w:gridCol w:w="213"/>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47"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ce25c693ee546779f285b77bacb5ccf_10">
              <w:r>
                <w:rPr>
                  <w:rStyle w:val="InternetLink"/>
                  <w:rFonts w:ascii="Times New Roman;serif" w:hAnsi="Times New Roman;serif"/>
                  <w:b/>
                  <w:color w:val="000000"/>
                  <w:sz w:val="16"/>
                  <w:u w:val="single"/>
                </w:rPr>
                <w:t>PART 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3">
              <w:r>
                <w:rPr>
                  <w:rStyle w:val="InternetLink"/>
                  <w:rFonts w:ascii="Times New Roman;serif" w:hAnsi="Times New Roman;serif"/>
                  <w:b w:val="false"/>
                  <w:color w:val="000000"/>
                  <w:sz w:val="16"/>
                  <w:u w:val="single"/>
                </w:rPr>
                <w:t>Item 1.</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3">
              <w:r>
                <w:rPr>
                  <w:rStyle w:val="InternetLink"/>
                  <w:rFonts w:ascii="Times New Roman;serif" w:hAnsi="Times New Roman;serif"/>
                  <w:b w:val="false"/>
                  <w:color w:val="000000"/>
                  <w:sz w:val="16"/>
                  <w:u w:val="singl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3">
              <w:r>
                <w:rPr>
                  <w:rStyle w:val="InternetLink"/>
                  <w:rFonts w:ascii="Times New Roman;serif" w:hAnsi="Times New Roman;serif"/>
                  <w:b w:val="false"/>
                  <w:color w:val="000000"/>
                  <w:sz w:val="16"/>
                  <w:u w:val="single"/>
                </w:rPr>
                <w:t>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6">
              <w:r>
                <w:rPr>
                  <w:rStyle w:val="InternetLink"/>
                  <w:rFonts w:ascii="Times New Roman;serif" w:hAnsi="Times New Roman;serif"/>
                  <w:b w:val="false"/>
                  <w:color w:val="000000"/>
                  <w:sz w:val="16"/>
                  <w:u w:val="single"/>
                </w:rPr>
                <w:t>Item 1A.</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6">
              <w:r>
                <w:rPr>
                  <w:rStyle w:val="InternetLink"/>
                  <w:rFonts w:ascii="Times New Roman;serif" w:hAnsi="Times New Roman;serif"/>
                  <w:b w:val="false"/>
                  <w:color w:val="000000"/>
                  <w:sz w:val="16"/>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6">
              <w:r>
                <w:rPr>
                  <w:rStyle w:val="InternetLink"/>
                  <w:rFonts w:ascii="Times New Roman;serif" w:hAnsi="Times New Roman;serif"/>
                  <w:b w:val="false"/>
                  <w:color w:val="000000"/>
                  <w:sz w:val="16"/>
                  <w:u w:val="single"/>
                </w:rPr>
                <w:t>13</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9">
              <w:r>
                <w:rPr>
                  <w:rStyle w:val="InternetLink"/>
                  <w:rFonts w:ascii="Times New Roman;serif" w:hAnsi="Times New Roman;serif"/>
                  <w:b w:val="false"/>
                  <w:color w:val="000000"/>
                  <w:sz w:val="16"/>
                  <w:u w:val="single"/>
                </w:rPr>
                <w:t>Item 1B.</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9">
              <w:r>
                <w:rPr>
                  <w:rStyle w:val="InternetLink"/>
                  <w:rFonts w:ascii="Times New Roman;serif" w:hAnsi="Times New Roman;serif"/>
                  <w:b w:val="false"/>
                  <w:color w:val="000000"/>
                  <w:sz w:val="16"/>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9">
              <w:r>
                <w:rPr>
                  <w:rStyle w:val="InternetLink"/>
                  <w:rFonts w:ascii="Times New Roman;serif" w:hAnsi="Times New Roman;serif"/>
                  <w:b w:val="false"/>
                  <w:color w:val="000000"/>
                  <w:sz w:val="16"/>
                  <w:u w:val="single"/>
                </w:rPr>
                <w:t>29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
              <w:r>
                <w:rPr>
                  <w:rStyle w:val="InternetLink"/>
                  <w:rFonts w:ascii="Times New Roman;serif" w:hAnsi="Times New Roman;serif"/>
                  <w:b w:val="false"/>
                  <w:color w:val="000000"/>
                  <w:sz w:val="16"/>
                  <w:u w:val="single"/>
                </w:rPr>
                <w:t>Item 1C.</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
              <w:r>
                <w:rPr>
                  <w:rStyle w:val="InternetLink"/>
                  <w:rFonts w:ascii="Times New Roman;serif" w:hAnsi="Times New Roman;serif"/>
                  <w:b w:val="false"/>
                  <w:color w:val="000000"/>
                  <w:sz w:val="16"/>
                  <w:u w:val="singl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
              <w:r>
                <w:rPr>
                  <w:rStyle w:val="InternetLink"/>
                  <w:rFonts w:ascii="Times New Roman;serif" w:hAnsi="Times New Roman;serif"/>
                  <w:b w:val="false"/>
                  <w:color w:val="000000"/>
                  <w:sz w:val="16"/>
                  <w:u w:val="single"/>
                </w:rPr>
                <w:t>29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5">
              <w:r>
                <w:rPr>
                  <w:rStyle w:val="InternetLink"/>
                  <w:rFonts w:ascii="Times New Roman;serif" w:hAnsi="Times New Roman;serif"/>
                  <w:b w:val="false"/>
                  <w:color w:val="000000"/>
                  <w:sz w:val="16"/>
                  <w:u w:val="single"/>
                </w:rPr>
                <w:t>Item 2.</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5">
              <w:r>
                <w:rPr>
                  <w:rStyle w:val="InternetLink"/>
                  <w:rFonts w:ascii="Times New Roman;serif" w:hAnsi="Times New Roman;serif"/>
                  <w:b w:val="false"/>
                  <w:color w:val="000000"/>
                  <w:sz w:val="16"/>
                  <w:u w:val="single"/>
                </w:rPr>
                <w:t>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5">
              <w:r>
                <w:rPr>
                  <w:rStyle w:val="InternetLink"/>
                  <w:rFonts w:ascii="Times New Roman;serif" w:hAnsi="Times New Roman;serif"/>
                  <w:b w:val="false"/>
                  <w:color w:val="000000"/>
                  <w:sz w:val="16"/>
                  <w:u w:val="single"/>
                </w:rPr>
                <w:t>30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8">
              <w:r>
                <w:rPr>
                  <w:rStyle w:val="InternetLink"/>
                  <w:rFonts w:ascii="Times New Roman;serif" w:hAnsi="Times New Roman;serif"/>
                  <w:b w:val="false"/>
                  <w:color w:val="000000"/>
                  <w:sz w:val="16"/>
                  <w:u w:val="single"/>
                </w:rPr>
                <w:t>Item 3.</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8">
              <w:r>
                <w:rPr>
                  <w:rStyle w:val="InternetLink"/>
                  <w:rFonts w:ascii="Times New Roman;serif" w:hAnsi="Times New Roman;serif"/>
                  <w:b w:val="false"/>
                  <w:color w:val="000000"/>
                  <w:sz w:val="16"/>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8">
              <w:r>
                <w:rPr>
                  <w:rStyle w:val="InternetLink"/>
                  <w:rFonts w:ascii="Times New Roman;serif" w:hAnsi="Times New Roman;serif"/>
                  <w:b w:val="false"/>
                  <w:color w:val="000000"/>
                  <w:sz w:val="16"/>
                  <w:u w:val="single"/>
                </w:rPr>
                <w:t>30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31">
              <w:r>
                <w:rPr>
                  <w:rStyle w:val="InternetLink"/>
                  <w:rFonts w:ascii="Times New Roman;serif" w:hAnsi="Times New Roman;serif"/>
                  <w:b w:val="false"/>
                  <w:color w:val="000000"/>
                  <w:sz w:val="16"/>
                  <w:u w:val="single"/>
                </w:rPr>
                <w:t>Item 4.</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31">
              <w:r>
                <w:rPr>
                  <w:rStyle w:val="InternetLink"/>
                  <w:rFonts w:ascii="Times New Roman;serif" w:hAnsi="Times New Roman;serif"/>
                  <w:b w:val="false"/>
                  <w:color w:val="000000"/>
                  <w:sz w:val="16"/>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31">
              <w:r>
                <w:rPr>
                  <w:rStyle w:val="InternetLink"/>
                  <w:rFonts w:ascii="Times New Roman;serif" w:hAnsi="Times New Roman;serif"/>
                  <w:b w:val="false"/>
                  <w:color w:val="000000"/>
                  <w:sz w:val="16"/>
                  <w:u w:val="single"/>
                </w:rPr>
                <w:t>30</w:t>
              </w:r>
            </w:hyperlink>
          </w:p>
        </w:tc>
      </w:tr>
      <w:tr>
        <w:trPr/>
        <w:tc>
          <w:tcPr>
            <w:tcW w:w="9047"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ce25c693ee546779f285b77bacb5ccf_34">
              <w:r>
                <w:rPr>
                  <w:rStyle w:val="InternetLink"/>
                  <w:rFonts w:ascii="Times New Roman;serif" w:hAnsi="Times New Roman;serif"/>
                  <w:b/>
                  <w:color w:val="000000"/>
                  <w:sz w:val="16"/>
                  <w:u w:val="single"/>
                </w:rPr>
                <w:t>PART 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37">
              <w:r>
                <w:rPr>
                  <w:rStyle w:val="InternetLink"/>
                  <w:rFonts w:ascii="Times New Roman;serif" w:hAnsi="Times New Roman;serif"/>
                  <w:b w:val="false"/>
                  <w:color w:val="000000"/>
                  <w:sz w:val="16"/>
                  <w:u w:val="single"/>
                </w:rPr>
                <w:t>Item 5.</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37">
              <w:r>
                <w:rPr>
                  <w:rStyle w:val="InternetLink"/>
                  <w:rFonts w:ascii="Times New Roman;serif" w:hAnsi="Times New Roman;serif"/>
                  <w:b w:val="false"/>
                  <w:color w:val="000000"/>
                  <w:sz w:val="16"/>
                  <w:u w:val="single"/>
                </w:rPr>
                <w:t>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37">
              <w:r>
                <w:rPr>
                  <w:rStyle w:val="InternetLink"/>
                  <w:rFonts w:ascii="Times New Roman;serif" w:hAnsi="Times New Roman;serif"/>
                  <w:b w:val="false"/>
                  <w:color w:val="000000"/>
                  <w:sz w:val="16"/>
                  <w:u w:val="single"/>
                </w:rPr>
                <w:t>31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40">
              <w:r>
                <w:rPr>
                  <w:rStyle w:val="InternetLink"/>
                  <w:rFonts w:ascii="Times New Roman;serif" w:hAnsi="Times New Roman;serif"/>
                  <w:b w:val="false"/>
                  <w:color w:val="000000"/>
                  <w:sz w:val="16"/>
                  <w:u w:val="single"/>
                </w:rPr>
                <w:t>Item 6.</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40">
              <w:r>
                <w:rPr>
                  <w:rStyle w:val="InternetLink"/>
                  <w:rFonts w:ascii="Times New Roman;serif" w:hAnsi="Times New Roman;serif"/>
                  <w:b w:val="false"/>
                  <w:color w:val="000000"/>
                  <w:sz w:val="16"/>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40">
              <w:r>
                <w:rPr>
                  <w:rStyle w:val="InternetLink"/>
                  <w:rFonts w:ascii="Times New Roman;serif" w:hAnsi="Times New Roman;serif"/>
                  <w:b w:val="false"/>
                  <w:color w:val="000000"/>
                  <w:sz w:val="16"/>
                  <w:u w:val="single"/>
                </w:rPr>
                <w:t>32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43">
              <w:r>
                <w:rPr>
                  <w:rStyle w:val="InternetLink"/>
                  <w:rFonts w:ascii="Times New Roman;serif" w:hAnsi="Times New Roman;serif"/>
                  <w:b w:val="false"/>
                  <w:color w:val="000000"/>
                  <w:sz w:val="16"/>
                  <w:u w:val="single"/>
                </w:rPr>
                <w:t>Item 7.</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43">
              <w:r>
                <w:rPr>
                  <w:rStyle w:val="InternetLink"/>
                  <w:rFonts w:ascii="Times New Roman;serif" w:hAnsi="Times New Roman;serif"/>
                  <w:b w:val="false"/>
                  <w:color w:val="000000"/>
                  <w:sz w:val="16"/>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43">
              <w:r>
                <w:rPr>
                  <w:rStyle w:val="InternetLink"/>
                  <w:rFonts w:ascii="Times New Roman;serif" w:hAnsi="Times New Roman;serif"/>
                  <w:b w:val="false"/>
                  <w:color w:val="000000"/>
                  <w:sz w:val="16"/>
                  <w:u w:val="single"/>
                </w:rPr>
                <w:t>32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82">
              <w:r>
                <w:rPr>
                  <w:rStyle w:val="InternetLink"/>
                  <w:rFonts w:ascii="Times New Roman;serif" w:hAnsi="Times New Roman;serif"/>
                  <w:b w:val="false"/>
                  <w:color w:val="000000"/>
                  <w:sz w:val="16"/>
                  <w:u w:val="single"/>
                </w:rPr>
                <w:t>Item 7A.</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82">
              <w:r>
                <w:rPr>
                  <w:rStyle w:val="InternetLink"/>
                  <w:rFonts w:ascii="Times New Roman;serif" w:hAnsi="Times New Roman;serif"/>
                  <w:b w:val="false"/>
                  <w:color w:val="000000"/>
                  <w:sz w:val="16"/>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82">
              <w:r>
                <w:rPr>
                  <w:rStyle w:val="InternetLink"/>
                  <w:rFonts w:ascii="Times New Roman;serif" w:hAnsi="Times New Roman;serif"/>
                  <w:b w:val="false"/>
                  <w:color w:val="000000"/>
                  <w:sz w:val="16"/>
                  <w:u w:val="single"/>
                </w:rPr>
                <w:t>45</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94">
              <w:r>
                <w:rPr>
                  <w:rStyle w:val="InternetLink"/>
                  <w:rFonts w:ascii="Times New Roman;serif" w:hAnsi="Times New Roman;serif"/>
                  <w:b w:val="false"/>
                  <w:color w:val="000000"/>
                  <w:sz w:val="16"/>
                  <w:u w:val="single"/>
                </w:rPr>
                <w:t>Item 8.</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94">
              <w:r>
                <w:rPr>
                  <w:rStyle w:val="InternetLink"/>
                  <w:rFonts w:ascii="Times New Roman;serif" w:hAnsi="Times New Roman;serif"/>
                  <w:b w:val="false"/>
                  <w:color w:val="000000"/>
                  <w:sz w:val="16"/>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94">
              <w:r>
                <w:rPr>
                  <w:rStyle w:val="InternetLink"/>
                  <w:rFonts w:ascii="Times New Roman;serif" w:hAnsi="Times New Roman;serif"/>
                  <w:b w:val="false"/>
                  <w:color w:val="000000"/>
                  <w:sz w:val="16"/>
                  <w:u w:val="single"/>
                </w:rPr>
                <w:t>47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2">
              <w:r>
                <w:rPr>
                  <w:rStyle w:val="InternetLink"/>
                  <w:rFonts w:ascii="Times New Roman;serif" w:hAnsi="Times New Roman;serif"/>
                  <w:b w:val="false"/>
                  <w:color w:val="000000"/>
                  <w:sz w:val="16"/>
                  <w:u w:val="single"/>
                </w:rPr>
                <w:t>Item 9.</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2">
              <w:r>
                <w:rPr>
                  <w:rStyle w:val="InternetLink"/>
                  <w:rFonts w:ascii="Times New Roman;serif" w:hAnsi="Times New Roman;serif"/>
                  <w:b w:val="false"/>
                  <w:color w:val="000000"/>
                  <w:sz w:val="16"/>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02">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5">
              <w:r>
                <w:rPr>
                  <w:rStyle w:val="InternetLink"/>
                  <w:rFonts w:ascii="Times New Roman;serif" w:hAnsi="Times New Roman;serif"/>
                  <w:b w:val="false"/>
                  <w:color w:val="000000"/>
                  <w:sz w:val="16"/>
                  <w:u w:val="single"/>
                </w:rPr>
                <w:t>Item 9A.</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5">
              <w:r>
                <w:rPr>
                  <w:rStyle w:val="InternetLink"/>
                  <w:rFonts w:ascii="Times New Roman;serif" w:hAnsi="Times New Roman;serif"/>
                  <w:b w:val="false"/>
                  <w:color w:val="000000"/>
                  <w:sz w:val="16"/>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05">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8">
              <w:r>
                <w:rPr>
                  <w:rStyle w:val="InternetLink"/>
                  <w:rFonts w:ascii="Times New Roman;serif" w:hAnsi="Times New Roman;serif"/>
                  <w:b w:val="false"/>
                  <w:color w:val="000000"/>
                  <w:sz w:val="16"/>
                  <w:u w:val="single"/>
                </w:rPr>
                <w:t>Item 9B.</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08">
              <w:r>
                <w:rPr>
                  <w:rStyle w:val="InternetLink"/>
                  <w:rFonts w:ascii="Times New Roman;serif" w:hAnsi="Times New Roman;serif"/>
                  <w:b w:val="false"/>
                  <w:color w:val="000000"/>
                  <w:sz w:val="16"/>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08">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14">
              <w:r>
                <w:rPr>
                  <w:rStyle w:val="InternetLink"/>
                  <w:rFonts w:ascii="Times New Roman;serif" w:hAnsi="Times New Roman;serif"/>
                  <w:b w:val="false"/>
                  <w:color w:val="000000"/>
                  <w:sz w:val="16"/>
                  <w:u w:val="single"/>
                </w:rPr>
                <w:t>Item 9C.</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14">
              <w:r>
                <w:rPr>
                  <w:rStyle w:val="InternetLink"/>
                  <w:rFonts w:ascii="Times New Roman;serif" w:hAnsi="Times New Roman;serif"/>
                  <w:b w:val="false"/>
                  <w:color w:val="000000"/>
                  <w:sz w:val="16"/>
                  <w:u w:val="singl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14">
              <w:r>
                <w:rPr>
                  <w:rStyle w:val="InternetLink"/>
                  <w:rFonts w:ascii="Times New Roman;serif" w:hAnsi="Times New Roman;serif"/>
                  <w:b w:val="false"/>
                  <w:color w:val="000000"/>
                  <w:sz w:val="16"/>
                  <w:u w:val="single"/>
                </w:rPr>
                <w:t>98</w:t>
              </w:r>
            </w:hyperlink>
          </w:p>
        </w:tc>
      </w:tr>
      <w:tr>
        <w:trPr/>
        <w:tc>
          <w:tcPr>
            <w:tcW w:w="9047"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ce25c693ee546779f285b77bacb5ccf_217">
              <w:r>
                <w:rPr>
                  <w:rStyle w:val="InternetLink"/>
                  <w:rFonts w:ascii="Times New Roman;serif" w:hAnsi="Times New Roman;serif"/>
                  <w:b/>
                  <w:color w:val="000000"/>
                  <w:sz w:val="16"/>
                  <w:u w:val="single"/>
                </w:rPr>
                <w:t>PART III</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Item 10.</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Directors and Executive Officers of the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0">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Item 11.</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0">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Item 12.</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0">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Item 13.</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0">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Item 14</w:t>
              </w:r>
            </w:hyperlink>
            <w:r>
              <w:rPr>
                <w:rFonts w:ascii="Times New Roman;serif" w:hAnsi="Times New Roman;serif"/>
                <w:b w:val="false"/>
                <w:color w:val="000000"/>
                <w:sz w:val="16"/>
              </w:rPr>
              <w:t>.</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0">
              <w:r>
                <w:rPr>
                  <w:rStyle w:val="InternetLink"/>
                  <w:rFonts w:ascii="Times New Roman;serif" w:hAnsi="Times New Roman;serif"/>
                  <w:b w:val="false"/>
                  <w:color w:val="000000"/>
                  <w:sz w:val="16"/>
                  <w:u w:val="single"/>
                </w:rPr>
                <w:t>Principal Accounting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0">
              <w:r>
                <w:rPr>
                  <w:rStyle w:val="InternetLink"/>
                  <w:rFonts w:ascii="Times New Roman;serif" w:hAnsi="Times New Roman;serif"/>
                  <w:b w:val="false"/>
                  <w:color w:val="000000"/>
                  <w:sz w:val="16"/>
                  <w:u w:val="single"/>
                </w:rPr>
                <w:t>98</w:t>
              </w:r>
            </w:hyperlink>
          </w:p>
        </w:tc>
      </w:tr>
      <w:tr>
        <w:trPr/>
        <w:tc>
          <w:tcPr>
            <w:tcW w:w="904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47"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ce25c693ee546779f285b77bacb5ccf_223">
              <w:r>
                <w:rPr>
                  <w:rStyle w:val="InternetLink"/>
                  <w:rFonts w:ascii="Times New Roman;serif" w:hAnsi="Times New Roman;serif"/>
                  <w:b/>
                  <w:color w:val="000000"/>
                  <w:sz w:val="16"/>
                  <w:u w:val="single"/>
                </w:rPr>
                <w:t>PART IV</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6">
              <w:r>
                <w:rPr>
                  <w:rStyle w:val="InternetLink"/>
                  <w:rFonts w:ascii="Times New Roman;serif" w:hAnsi="Times New Roman;serif"/>
                  <w:b w:val="false"/>
                  <w:color w:val="000000"/>
                  <w:sz w:val="16"/>
                  <w:u w:val="single"/>
                </w:rPr>
                <w:t>Item 15.</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6">
              <w:r>
                <w:rPr>
                  <w:rStyle w:val="InternetLink"/>
                  <w:rFonts w:ascii="Times New Roman;serif" w:hAnsi="Times New Roman;serif"/>
                  <w:b w:val="false"/>
                  <w:color w:val="000000"/>
                  <w:sz w:val="16"/>
                  <w:u w:val="singl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6">
              <w:r>
                <w:rPr>
                  <w:rStyle w:val="InternetLink"/>
                  <w:rFonts w:ascii="Times New Roman;serif" w:hAnsi="Times New Roman;serif"/>
                  <w:b w:val="false"/>
                  <w:color w:val="000000"/>
                  <w:sz w:val="16"/>
                  <w:u w:val="single"/>
                </w:rPr>
                <w:t>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9">
              <w:r>
                <w:rPr>
                  <w:rStyle w:val="InternetLink"/>
                  <w:rFonts w:ascii="Times New Roman;serif" w:hAnsi="Times New Roman;serif"/>
                  <w:b w:val="false"/>
                  <w:color w:val="000000"/>
                  <w:sz w:val="16"/>
                  <w:u w:val="single"/>
                </w:rPr>
                <w:t>Item 16.</w:t>
              </w:r>
            </w:hyperlink>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29">
              <w:r>
                <w:rPr>
                  <w:rStyle w:val="InternetLink"/>
                  <w:rFonts w:ascii="Times New Roman;serif" w:hAnsi="Times New Roman;serif"/>
                  <w:b w:val="false"/>
                  <w:color w:val="000000"/>
                  <w:sz w:val="16"/>
                  <w:u w:val="singl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29">
              <w:r>
                <w:rPr>
                  <w:rStyle w:val="InternetLink"/>
                  <w:rFonts w:ascii="Times New Roman;serif" w:hAnsi="Times New Roman;serif"/>
                  <w:b w:val="false"/>
                  <w:color w:val="000000"/>
                  <w:sz w:val="16"/>
                  <w:u w:val="single"/>
                </w:rPr>
                <w:t>107</w:t>
              </w:r>
            </w:hyperlink>
          </w:p>
        </w:tc>
      </w:tr>
      <w:tr>
        <w:trPr/>
        <w:tc>
          <w:tcPr>
            <w:tcW w:w="8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232">
              <w:r>
                <w:rPr>
                  <w:rStyle w:val="InternetLink"/>
                  <w:rFonts w:ascii="Times New Roman;serif" w:hAnsi="Times New Roman;serif"/>
                  <w:b w:val="false"/>
                  <w:color w:val="000000"/>
                  <w:sz w:val="16"/>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232">
              <w:r>
                <w:rPr>
                  <w:rStyle w:val="InternetLink"/>
                  <w:rFonts w:ascii="Times New Roman;serif" w:hAnsi="Times New Roman;serif"/>
                  <w:b w:val="false"/>
                  <w:color w:val="000000"/>
                  <w:sz w:val="16"/>
                  <w:u w:val="single"/>
                </w:rPr>
                <w:t>108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stated otherwise or the context otherwise requires, all references to "FIS," "we," "our," "us," the "Company" or the "registrant" are to Fidelity National Information Services, Inc., a Georgia corporation, and its subsidiaries. Also, amounts in tables may not sum or calculate due to rounding. </w:t>
      </w:r>
    </w:p>
    <w:p>
      <w:pPr>
        <w:pStyle w:val="TextBody"/>
        <w:bidi w:val="0"/>
        <w:spacing w:before="0" w:after="0"/>
        <w:ind w:left="0" w:right="0" w:firstLine="495"/>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About FIS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is a financial technology company providing solutions to financial institutions, businesses and developers. We unlock financial technology to the world across the money lifecycle underpinning the world's financial systems. Our people are dedicated to advancing the way the world pays, banks and invests, by helping our clients to confidently run, grow and protect their businesses. Our expertise comes from decades of experience helping financial institutions and businesses of all sizes adapt to meet the needs of their customers by harnessing where reliability meets innovation in financial technology. Headquartered in Jacksonville, Florida, FIS is a member of the Fortune 500® and the Standard &amp; Poor’s 500® Index. FIS is incorporated under the laws of the State of Georgia as Fidelity National Information Services, Inc., and our stock is traded under the trading symbol "FIS" on the New York Stock Exchange.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Growth and Strategy Objectives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growth continues to be driven by the expansion of our clients' businesses, our internal development of innovative solutions, our focused sales and marketing efforts and our deepening reach across global financial ecosystems. Strategic acquisitions and partnerships have further enhanced our offerings, diversified our client portfolio, and expanded our reach into new and attractive markets aligned with our long-term objectives. As we advance our transformation into a platform company, we are embedding artificial intelligence ("AI") across our solutions and operations. We have shifted to a functional operating model, streamlining decision-making, fostering closer collaboration across the organization and with our clients. By reallocating resources toward high-value, integrated client experiences and modernizing our technology infrastructure, we are strengthening our competitive position and operational resilience.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Worldpay Sale and Issuer Solutions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31, 2024, we completed the sale (the "2024 Worldpay Sale") of a 55% equity interest in our Worldpay Merchant Solutions business to private equity funds managed by GTCR, LLC (such funds, the "Buyer"). FIS retained a non-controlling 45% equity interest in a new standalone joint venture, Worldpay Holdco, LLC ("Worldpay"), following the closing of the 2024 Worldpay Sale. In connection with the 2024 Worldpay Sale, FIS and Worldpay entered into commercial agreements, preserving a key value proposition for clients of both businesses and reducing potential dis-synergies. FIS and Worldpay also entered into additional agreements as described in Note 4 to the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17, 2025, FIS entered into definitive agreements to (i) buy the Issuer Solutions business (the "Issuer Solutions Business") from Global Payments Inc. ("Global Payments") ("the Issuer Solutions Acquisition") and (ii) sell its remaining equity interest in Worldpay to Global Payments (the "2026 Worldpay Minority Interest Sale"). The transaction closed on January 9, 2026. We funded the Issuer Solutions Acquisition through a combination of approximately $7.7 billion of new debt and the 2026 Worldpay Minority Interest Sale.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Competitive Strengths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competitive strengths include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Brand. </w:t>
      </w:r>
      <w:r>
        <w:rPr>
          <w:rFonts w:ascii="Times New Roman;serif" w:hAnsi="Times New Roman;serif"/>
          <w:b w:val="false"/>
          <w:color w:val="000000"/>
          <w:sz w:val="20"/>
        </w:rPr>
        <w:t xml:space="preserve">FIS is a highly respected brand known globally for innovation and thought leadership in the financial services sector.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Extensive Domain Expertise and Portfolio Breadth. </w:t>
      </w:r>
      <w:r>
        <w:rPr>
          <w:rFonts w:ascii="Times New Roman;serif" w:hAnsi="Times New Roman;serif"/>
          <w:b w:val="false"/>
          <w:color w:val="000000"/>
          <w:sz w:val="20"/>
        </w:rPr>
        <w:t xml:space="preserve">FIS' significant expertise in the markets and domains we serve enables us to deliver a broad range of innovative software applications and flexible service offerings, ranging from managed processing arrangements, either at the client site or hosted at an FIS data center or in our private 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traditional license and maintenance arrangements. Our component-based platform offers clients an extensive solution set with modern, streamlined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Excellent and Long-term Relationships with Clients. </w:t>
      </w:r>
      <w:r>
        <w:rPr>
          <w:rFonts w:ascii="Times New Roman;serif" w:hAnsi="Times New Roman;serif"/>
          <w:b w:val="false"/>
          <w:color w:val="000000"/>
          <w:sz w:val="20"/>
        </w:rPr>
        <w:t>A significant percentage of our business relates to solutions provided under multi-year, recurring contracts. The nature of these relationships allows us to develop close partnerships with our clients, resulting in high client retention rates. As the breadth of FIS' service offerings has expanded, we have found that our deep and broad access within our clients' organizations presents greater opportunities for cross-selling and up-selling solutions to our clients.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Data and Cloud-based Technologies.</w:t>
      </w:r>
      <w:r>
        <w:rPr>
          <w:color w:val="000000"/>
        </w:rPr>
        <w:t xml:space="preserve"> </w:t>
      </w:r>
      <w:r>
        <w:rPr>
          <w:rFonts w:ascii="Times New Roman;serif" w:hAnsi="Times New Roman;serif"/>
          <w:b w:val="false"/>
          <w:color w:val="000000"/>
          <w:sz w:val="20"/>
        </w:rPr>
        <w:t>FIS harnesses advanced analytics, AI, and real-time data insights across our platforms to deliver differentiated solutions that enhance decision-making, improve operational efficiency, and create personalized client experiences. By integrating emerging technologies such as machine learning, cloud-native architectures, and API-driven ecosystems, we strengthen our ability to innovate rapidly, scale securely, and maintain a leadership position in a dynamic financial services landscape.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Global</w:t>
      </w:r>
      <w:r>
        <w:rPr>
          <w:color w:val="000000"/>
        </w:rPr>
        <w:t xml:space="preserve"> </w:t>
      </w:r>
      <w:r>
        <w:rPr>
          <w:rFonts w:ascii="Times New Roman;serif" w:hAnsi="Times New Roman;serif"/>
          <w:b w:val="false"/>
          <w:i/>
          <w:color w:val="000000"/>
          <w:sz w:val="20"/>
        </w:rPr>
        <w:t xml:space="preserve">Distribution and Scale. </w:t>
      </w:r>
      <w:r>
        <w:rPr>
          <w:rFonts w:ascii="Times New Roman;serif" w:hAnsi="Times New Roman;serif"/>
          <w:b w:val="false"/>
          <w:color w:val="000000"/>
          <w:sz w:val="20"/>
        </w:rPr>
        <w:t>We are a global leader in many of the markets we serve, supported by a large, knowledgeable talent pool of employees around the world. Our worldwide presence and global scale enable us to leverage our array of solution offerings, client relationships, and modern infrastructure to drive revenue growth and operating efficiency.</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mission is to deliver superior solutions to our clients and to expand our client base to generate sustained revenue and earnings growth for our shareholders. Our strategy to achieve this goal is built on the following pillars: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Build, Buy, or Partner to Add Solutions to Win New Clients and Cross-sell to Existing Clients. </w:t>
      </w:r>
      <w:r>
        <w:rPr>
          <w:rFonts w:ascii="Times New Roman;serif" w:hAnsi="Times New Roman;serif"/>
          <w:b w:val="false"/>
          <w:color w:val="000000"/>
          <w:sz w:val="20"/>
        </w:rPr>
        <w:t>We continue to execute a disciplined build, buy and partner model embedded in product development, technology investment and go-to market execution. By investing in solution innovation, we expand our value proposition to our clients and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Support Our Clients Through Innovation. </w:t>
      </w:r>
      <w:r>
        <w:rPr>
          <w:rFonts w:ascii="Times New Roman;serif" w:hAnsi="Times New Roman;serif"/>
          <w:b w:val="false"/>
          <w:color w:val="000000"/>
          <w:sz w:val="20"/>
        </w:rPr>
        <w:t>Changing market dynamics, particularly in the areas of digital delivery, information security and AI are transforming the way our clients operate and compete. These dynamics are driving increased demand for integrated, modular solutions built on our intellectual property. Our depth of service capabilities and platform provider model position us to engage earlier in clients' planning and design processes, collaborate with fintechs and third-party developers, and deliver innovation solutions that help clients navigate change, enhance resilience and accelerate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Drive Efficiency and Scalability.</w:t>
      </w:r>
      <w:r>
        <w:rPr>
          <w:color w:val="000000"/>
        </w:rPr>
        <w:t xml:space="preserve"> </w:t>
      </w:r>
      <w:r>
        <w:rPr>
          <w:rFonts w:ascii="Times New Roman;serif" w:hAnsi="Times New Roman;serif"/>
          <w:b w:val="false"/>
          <w:color w:val="000000"/>
          <w:sz w:val="20"/>
        </w:rPr>
        <w:t>We strive to improve the efficiency of our operations through investments in new technologies, processes and infrastructure modernization. We also leverage a one-to-many operating model to drive high incremental margins on revenue growth, while also providing cost-effective solutions for our clients.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Expand Distribution.</w:t>
      </w:r>
      <w:r>
        <w:rPr>
          <w:color w:val="000000"/>
        </w:rPr>
        <w:t xml:space="preserve"> </w:t>
      </w:r>
      <w:r>
        <w:rPr>
          <w:rFonts w:ascii="Times New Roman;serif" w:hAnsi="Times New Roman;serif"/>
          <w:b w:val="false"/>
          <w:color w:val="000000"/>
          <w:sz w:val="20"/>
        </w:rPr>
        <w:t>Through our global sales force and strategic commercial partnerships, we drive growth through client additions and the expansion of existing client relationships in support of our clients' growth ambitions. Our clients range from large banks, financial institutions and other enterprises, including multi-national clients, to community or regional financial institutions and other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Allocate Our Capital and Resources Strategically. </w:t>
      </w:r>
      <w:r>
        <w:rPr>
          <w:rFonts w:ascii="Times New Roman;serif" w:hAnsi="Times New Roman;serif"/>
          <w:b w:val="false"/>
          <w:color w:val="000000"/>
          <w:sz w:val="20"/>
        </w:rPr>
        <w:t>As we make decisions with respect to building, buying or partnering to drive innovation in support of our clients, we prioritize the allocation of capital and other resources to the opportunities providing the highest client benefit and growth potential. We also continually review our portfolio of assets and businesses to assess their fit with our strategy and will, from time to time, decide to wind down or divest businesses or assets to redeploy capital to our areas of strategic focus. We believe that keeping our team and our capital strategically focused benefits our existing clients and our ability to win new clients. At the same time, to the extent our businesses generate excess cash, we strategically use it to repurchase shares, repay debt, pay dividends or for other corporate purposes.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FIS reports its financial performance based on the following segments: Banking Solutions ("Banking"), Capital Market Solutions ("Capital Markets") and Corporate and Other.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Worldpay Merchant Solutions business included the former Merchant Solutions segment in addition to a business previously included in the Corporate and Other segment. The results of the Worldpay Merchant Solutions business have been recast as discontinued operations for all periods presented. As such, the related results have been excluded from continuing operations and segment results, and the Company no longer reports the Merchant Solutions segment. See Notes 1 and 3 to the consolidated financial statements for further information regarding the Worldpay Merchant Solutions disposal group and its discontinued operations. FIS' share of the net income of Worldpay is reported as equity method investment earnings (loss).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consolidated results generally do not reflect pronounced seasonality. However, quarterly revenue and margins for each segment may vary based on the timing of recognition of certain non-recurring revenue, including software licenses and termination fees.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For information about current trends in market demand, see "Item 7. </w:t>
      </w:r>
      <w:r>
        <w:rPr>
          <w:rFonts w:ascii="Times New Roman;serif" w:hAnsi="Times New Roman;serif"/>
          <w:b w:val="false"/>
          <w:i/>
          <w:color w:val="000000"/>
          <w:sz w:val="20"/>
        </w:rPr>
        <w:t xml:space="preserve">Management's Discussion and Analysis of Financial Condition and Results of Operations - </w:t>
      </w:r>
      <w:r>
        <w:rPr>
          <w:rFonts w:ascii="Times New Roman;serif" w:hAnsi="Times New Roman;serif"/>
          <w:b w:val="false"/>
          <w:color w:val="000000"/>
          <w:sz w:val="20"/>
        </w:rPr>
        <w:t>Business Trends and Conditions</w:t>
      </w:r>
      <w:r>
        <w:rPr>
          <w:rFonts w:ascii="Times New Roman;serif" w:hAnsi="Times New Roman;serif"/>
          <w:b w:val="false"/>
          <w:i/>
          <w:color w:val="000000"/>
          <w:sz w:val="20"/>
        </w:rPr>
        <w:t>.</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by Segment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revenue by reporting segment (in millions):</w:t>
      </w:r>
    </w:p>
    <w:tbl>
      <w:tblPr>
        <w:tblW w:w="6176" w:type="dxa"/>
        <w:jc w:val="left"/>
        <w:tblInd w:w="0" w:type="dxa"/>
        <w:tblLayout w:type="fixed"/>
        <w:tblCellMar>
          <w:top w:w="28" w:type="dxa"/>
          <w:left w:w="28" w:type="dxa"/>
          <w:bottom w:w="28" w:type="dxa"/>
          <w:right w:w="28" w:type="dxa"/>
        </w:tblCellMar>
      </w:tblPr>
      <w:tblGrid>
        <w:gridCol w:w="890"/>
        <w:gridCol w:w="783"/>
        <w:gridCol w:w="786"/>
        <w:gridCol w:w="211"/>
        <w:gridCol w:w="721"/>
        <w:gridCol w:w="109"/>
        <w:gridCol w:w="109"/>
        <w:gridCol w:w="109"/>
        <w:gridCol w:w="109"/>
        <w:gridCol w:w="211"/>
        <w:gridCol w:w="721"/>
        <w:gridCol w:w="109"/>
        <w:gridCol w:w="109"/>
        <w:gridCol w:w="109"/>
        <w:gridCol w:w="109"/>
        <w:gridCol w:w="211"/>
        <w:gridCol w:w="61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Banking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Banking Solutions ("Banking")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Banking segment is focused on serving financial institutions with core processing software, transaction processing software and complementary applications and services, many of which interact directly with core processing software. We sell these solutions on either a bundled or stand-alone basis. Clients in this segment include global financial institutions, U.S. regional and community banks, credit unions and commercial lenders, as well as government institutions and other commercial organizations. We provide our clients integrated solutions characterized by multi-year processing contracts that generate recurring revenue. The predictable nature of cash flows generated from the Banking segment provides opportunities for further investments in innovation, integration, information and security, and compliance in a cost-effective manner.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solutions in this segment include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Core Processing and Ancillary Applications.</w:t>
      </w:r>
      <w:r>
        <w:rPr>
          <w:color w:val="000000"/>
        </w:rPr>
        <w:t> </w:t>
      </w:r>
      <w:r>
        <w:rPr>
          <w:rFonts w:ascii="Times New Roman;serif" w:hAnsi="Times New Roman;serif"/>
          <w:b w:val="false"/>
          <w:color w:val="000000"/>
          <w:sz w:val="20"/>
        </w:rPr>
        <w:t>Our core processing software applications, including deposit and lending, customer management and other central management systems, are designed to run banking processes for our financial institution clients. Clients use these applications to maintain the primary records of their customer accounts. Our diverse selection of market-focused core processing software applications enables FIS to compete effectively in a wide range of markets. We continue to invest in our core modernization efforts to further differentiate our offerings for the long term. We also offer a number of solutions that are ancillary to the primary applications listed above, including branch automation, back-office support systems and compliance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Digital, including Mobile and Online.</w:t>
      </w:r>
      <w:r>
        <w:rPr>
          <w:color w:val="000000"/>
        </w:rPr>
        <w:t> </w:t>
      </w:r>
      <w:r>
        <w:rPr>
          <w:rFonts w:ascii="Times New Roman;serif" w:hAnsi="Times New Roman;serif"/>
          <w:b w:val="false"/>
          <w:color w:val="000000"/>
          <w:sz w:val="20"/>
        </w:rPr>
        <w:t xml:space="preserve">Our comprehensive suite of retail and commercial applications enables financial institutions to streamline and integrate customer-facing operations with back-office processes, thereby improving customer experience across channels (e.g., branch, internet, mobile, ATM, and call centers). FIS' focus on real-time consumer access has driven significant market innovation in multi-channel, API-enabled embedded and multi-hosted solutions, underpinned by a strategy that provides tight integration and a seamless customer experience. </w:t>
      </w:r>
      <w:r>
        <w:rPr>
          <w:rFonts w:ascii="Times New Roman;serif" w:hAnsi="Times New Roman;serif"/>
          <w:b w:val="false"/>
          <w:color w:val="2C2C2C"/>
          <w:sz w:val="20"/>
        </w:rPr>
        <w:t xml:space="preserve">Our innovative digital banking capabilities are now available to financial institutions with continually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pPr>
      <w:r>
        <w:rPr>
          <w:rFonts w:ascii="Times New Roman;serif" w:hAnsi="Times New Roman;serif"/>
          <w:b w:val="false"/>
          <w:color w:val="2C2C2C"/>
          <w:sz w:val="20"/>
        </w:rPr>
        <w:t>expanding functionality. Our digital offerings are</w:t>
      </w:r>
      <w:r>
        <w:rPr>
          <w:color w:val="000000"/>
        </w:rPr>
        <w:t xml:space="preserve"> </w:t>
      </w:r>
      <w:r>
        <w:rPr>
          <w:rFonts w:ascii="Times New Roman;serif" w:hAnsi="Times New Roman;serif"/>
          <w:b w:val="false"/>
          <w:color w:val="000000"/>
          <w:sz w:val="20"/>
        </w:rPr>
        <w:t>integrated with core banking platforms offered by FIS and are also offered to customers of non-FIS core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Fraud, Risk Management and Compliance.</w:t>
      </w:r>
      <w:r>
        <w:rPr>
          <w:color w:val="000000"/>
        </w:rPr>
        <w:t> </w:t>
      </w:r>
      <w:r>
        <w:rPr>
          <w:rFonts w:ascii="Times New Roman;serif" w:hAnsi="Times New Roman;serif"/>
          <w:b w:val="false"/>
          <w:color w:val="000000"/>
          <w:sz w:val="20"/>
        </w:rPr>
        <w:t>Our decision solutions offer a spectrum of options that cover the account lifecycle from helping to identify qualified account applicants to managing existing customer accounts and fraud. Our applications enable Know Your Customer, new account decisioning and opening, account and transaction management, fraud management and collections. Our risk management solutions use our proprietary risk management models and data sources to assist in detecting fraud and assessing the risk of opening a new account. Our systems use a combination of advanced authentication procedures, predictive analytics, AI modeling and proprietary and shared databases to assess and detect fraud risk for deposit, card and other transactions for financial institutions.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Card and Retail Payments.</w:t>
      </w:r>
      <w:r>
        <w:rPr>
          <w:color w:val="000000"/>
        </w:rPr>
        <w:t> </w:t>
      </w:r>
      <w:r>
        <w:rPr>
          <w:rFonts w:ascii="Times New Roman;serif" w:hAnsi="Times New Roman;serif"/>
          <w:b w:val="false"/>
          <w:color w:val="000000"/>
          <w:sz w:val="20"/>
        </w:rPr>
        <w:t>Our card and retail payment technology solutions allow clients to issue VISA</w:t>
      </w:r>
      <w:r>
        <w:rPr>
          <w:rFonts w:ascii="Times New Roman;serif" w:hAnsi="Times New Roman;serif"/>
          <w:b w:val="false"/>
          <w:color w:val="000000"/>
          <w:sz w:val="13"/>
        </w:rPr>
        <w:t>®</w:t>
      </w:r>
      <w:r>
        <w:rPr>
          <w:rFonts w:ascii="Times New Roman;serif" w:hAnsi="Times New Roman;serif"/>
          <w:b w:val="false"/>
          <w:color w:val="000000"/>
          <w:sz w:val="20"/>
        </w:rPr>
        <w:t>, MasterCard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 other payment network-branded credit and debit cards or other electronic payment cards for use by both consumer and business accounts. Card-based volumes continue to increase, driven by both the number of accounts on file and the number and value of transactions per month. We offer EMV (Europay, MasterCard and Visa) integrated circuit cards, often referred to as chip cards, as well as a variety of stored-value card types and loyalty programs, including our Premium Payback service that allows our financial institutions' customers to use loyalty points at a variety of merchant point-of-sale systems. Our integrated solutions range from card production and activation to processing to an extensive range of fraud management solutions and value-added loyalty programs designed to increase card usage and fee-based revenue for financial institutions and merchants. Many of our programs are full service, including most of the operations and support necessary for an issuer to operate a credit card program; however, we do not make credit decisions for our card issuing clients. We also provide specialized solutions such as virtual card, accounts payable and expense management, commercial processing and real-time alerts. We are also a leading provider of prepaid card solutions, which include digital cards, gift cards and reloadable cards, with end-to-end solutions for the development, processing and administration of stored-value programs, including government benefit programs. Our closed-loop gift card solutions and loyalty programs provide merchants compelling solutions to drive consumer loyalty.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Electronic Funds Transfer and Network.</w:t>
      </w:r>
      <w:r>
        <w:rPr>
          <w:color w:val="000000"/>
        </w:rPr>
        <w:t> </w:t>
      </w:r>
      <w:r>
        <w:rPr>
          <w:rFonts w:ascii="Times New Roman;serif" w:hAnsi="Times New Roman;serif"/>
          <w:b w:val="false"/>
          <w:color w:val="000000"/>
          <w:sz w:val="20"/>
        </w:rPr>
        <w:t>Our electronic funds transfer and debit card processing businesses offer settlement and card management solutions for financial institution card issuers. We offer a modern, core-agnostic payment hub with real-time fraud monitoring across payment rails. We own and operate several U.S. domestic debit, prepaid, ATM and credit networks that carry transactions for a variety of transaction modes. Our networks connect millions of cards and point-of-sale locations nationwide, providing consumers with secure, real-time access to their money. Also through our networks, clients such as financial institutions, retailers and independent ATM operators can capitalize on the efficiency, consumer convenience and security of electronic real-time payments, real-time account-to-account transfers, and strategic alliances, such as surcharge-free ATM network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Wealth and Retirement.</w:t>
      </w:r>
      <w:r>
        <w:rPr>
          <w:color w:val="000000"/>
        </w:rPr>
        <w:t> </w:t>
      </w:r>
      <w:r>
        <w:rPr>
          <w:rFonts w:ascii="Times New Roman;serif" w:hAnsi="Times New Roman;serif"/>
          <w:b w:val="false"/>
          <w:color w:val="000000"/>
          <w:sz w:val="20"/>
        </w:rPr>
        <w:t>We provide wealth and retirement solutions that help banks, trust companies, brokerage firms, insurance firms, retirement plan professionals, benefit administrators and independent advisors acquire, service and grow their client relationships. We provide solutions for client acquisition, transaction management, trust accounting and recordkeeping that can be deployed stand-alone, as part of an integrated wealth or retirement platform, or on an outsourced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Item Processing and Output Solutions.</w:t>
      </w:r>
      <w:r>
        <w:rPr>
          <w:color w:val="000000"/>
        </w:rPr>
        <w:t> </w:t>
      </w:r>
      <w:r>
        <w:rPr>
          <w:rFonts w:ascii="Times New Roman;serif" w:hAnsi="Times New Roman;serif"/>
          <w:b w:val="false"/>
          <w:color w:val="000000"/>
          <w:sz w:val="20"/>
        </w:rPr>
        <w:t>Our item processing solutions furnish financial institutions with the technology needed to capture data from checks, transaction tickets and other items; image and sort items; process exceptions through keying; and perform balancing, archiving and the production of statements. Our item processing services are performed at one of our multiple item processing centers located throughout the U.S. or on-site at client locations. Our extensive solutions include distributed (i.e., non-centralized) data capture, mobile deposit capture, check and remittance processing, fraud detection, and document and report management. Clients encompass banks and corporations of all sizes, from de novo banks to the largest financial institutions and corporations. We offer a number of output solutions that are ancillary to the primary solutions we provide, including print and mail capabilities, document composition software and solutions, and card personalization fulfillment solutions. Our print and mail solutions offer complete computer output solutions for the creation, management and delivery of print and fulfillment needs. We provide our card personalization fulfillment solutions for branded credit cards and branded and non-branded debit and prepaid cards.</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Capital Market Solutions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Capital Markets segment is focused on serving global financial services clients and multi-national corporations with a broad array of buy- and sell-side, treasury, risk management and lending solutions. Clients in this segment include asset managers, private equity firms, sell-side securities brokerage and trading firms, insurers, asset and auto financiers and other commercial organizations. Our solutions include a variety of mission-critical buy- and sell-side applications for recordkeeping, data and analytics, trading and financing, as well as corporate treasury and risk management applications. Capital Markets clients purchase our solutions in various ways including licensing and managing technology "in-house," using consulting and third-party service providers, as well as procuring fully outsourced end-to-end solutions. Our long-established relationships with many of these financial and commercial institutions generate significant recurring revenue. We have made, and continue to make, investments in modern platforms, advanced technologies, open APIs, machine learning and AI, and regulatory technology to support our Capital Markets clients.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portfolios in this segment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 xml:space="preserve">Trading and Asset Services. </w:t>
      </w:r>
      <w:r>
        <w:rPr>
          <w:rFonts w:ascii="Times New Roman;serif" w:hAnsi="Times New Roman;serif"/>
          <w:b w:val="false"/>
          <w:color w:val="000000"/>
          <w:sz w:val="20"/>
        </w:rPr>
        <w:t>We offer solutions that support our customers across the buy and sell sides of the capital markets industry, assisting them to control their front, middle and back office operations through integrated ecosystems. Our solutions support institutional investors, managers, broker-dealers, asset servicers and transfer agents across all asset classes including private equity, hedge, credit, and traditional. Our Trading solutions focus on advanced trade life-cycle management, including market making and risk management, cleared derivatives processing, securities processing and securities finance, tax processing, and regulatory compliance, including anti-money laundering (AML) and trade surveillance. Our Asset Servicing solutions support every stage of the investment process, from research and portfolio management to order and position management, valuation, risk management, corporate actions, reconciliation, investment accounting, investor accounting, transfer agency and client reporting. Our solutions improve both investment decision making and operational efficiency, while managing risk and increasing transparency across the industry.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Lending</w:t>
      </w:r>
      <w:r>
        <w:rPr>
          <w:rFonts w:ascii="Times New Roman;serif" w:hAnsi="Times New Roman;serif"/>
          <w:b w:val="false"/>
          <w:color w:val="000000"/>
          <w:sz w:val="20"/>
        </w:rPr>
        <w:t>. Our lending solutions offer full life-cycle commercial lending functionality from loan origination, commercial credit assessment and customer risk rating to loan servicing and data analytics. We also offer leveraged and syndicated loan markets solutions that manage amendments, secondary market trading, deal management and bookrunning. In the asset finance space, we offer a single, end-to-end leasing platform that helps auto and equipment finance companies manage the entire financing process, supporting origination and pricing, credit decisioning, contract management, servicing and collections.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 xml:space="preserve">Treasury and Risk. </w:t>
      </w:r>
      <w:r>
        <w:rPr>
          <w:rFonts w:ascii="Times New Roman;serif" w:hAnsi="Times New Roman;serif"/>
          <w:b w:val="false"/>
          <w:color w:val="000000"/>
          <w:sz w:val="20"/>
        </w:rPr>
        <w:t>Our treasury solutions help chief financial officers and treasurers manage working capital by reducing risk and improving communication and response time between a company's buyers, suppliers, banks, and other stakeholders. Our end-to-end financial management framework helps bring together receivables, treasury, and payments for a single view of cash and risk, which helps our clients optimize business processes for enhanced liquidity management. Our risk portfolio of solutions manages market and credit risk and regulatory compliance for banks and actuarial risk for insurance firms.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and Other segment consists of corporate overhead expense, certain leveraged functions and miscellaneous expenses that are not included in the operating segments, as well as certain non-strategic businesses. The overhead and leveraged costs relate to corporate marketing, finance, accounting, human resources, legal, compliance and internal audit functions, as well as other costs, such as acquisition, integration and transformation-related expenses and amortization of acquisition-related intangibles, that are not considered when management evaluates revenue-generating segment performance. Our other operating income recorded in connection with our transition services arrangements with Worldpay is also recorded in Corporate and Other.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sales personnel have expertise in particular solutions, geographic markets and industry verticals, as well as across our various client segments. We believe that focusing our expertise on clients in specific markets and tailoring integrated solution sets to participants in those markets enables us to better serve our clients and makes our offerings more attractive to prospects. The majority of our prospects are identified via direct and/or indirect field sales, as well as inbound and outbound lead generation, telesales and virtual sales efforts.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global marketing team develops and leads the execution of global, role-specific and geography-based strategic marketing plans in support of the segments' reputation and relationship building goals in addition to their revenue and profitability goals. Key components of our strategic plans include brand amplification and digital enablement; market and competitive research; voice of the customer and client engagement; thought leadership; integrated go-to-market programs; internal communications and readiness; journalists and social media engagement; industry analyst relations; client events; trade shows; high-touch client programs; demand generation campaigns; account- and deal-based marketing programs; collateral development and management across digital and online channels; and the launch of new products to market.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Patents, Copyrights, Trademarks and Other Intellectual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we own the intellectual property and proprietary rights that are necessary to conduct our business and are important to our future success, including trademarks, trade names, trade secrets, copyrights and patents. We license certain items from third parties under arms-length agreements for varying terms, including some "open source" licenses.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restrictions, internal security practices, patents, trade secrets, copyrights and applicable law to establish and protect our software, technology and expertise worldwide. We rely on trademark law to protect our rights in our brands. We intend to continue taking commercially reasonable measures to protect our intellectual property rights, including by legal action when necessary and appropriate.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our solutions are intensely competitive across both established companies and new industry entrants. Depending on the business line, our primary competitors include, but are not limited to, internal technology or software development departments within financial institutions or other large companies; global and regional companies providing banking, payment and capital markets solutions and services; embedded payment solution providers; securities exchanges; asset managers; card associations; clearing networks or associations; trust companies; independent computer services firms; companies that develop verticalized software applications; companies owned by global banks selling competitive solutions; companies that provide customized development, implementation and support services; emerging technology innovators and business process outsourcing companies. Many of these companies compete with us across multiple solutions, market segments and geographies to varying degrees based on solution strength and distribution strength. Competitive factors impacting the success of our solutions include the quality of the technology-based application or service, breadth of application features and functions, ease of delivery and integration, the ability to maintain, enhance and support the applications or solutions, price and overall client experience. We believe that we compete vigorously in each of these categories. FIS is positioned to lead through rapid innovation, ecosystem partnerships, and the integration of new technologies. We actively monitor and respond to market trends, leveraging our domain expertise to enhance our platform of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Technology Development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development activities primarily relate to enhancing our proprietary core processing software applications and to designing and developing next-generation digital solutions, processing systems, software applications and risk management platforms, including componentized products with unified API-enabled access implemented on a cloud foundation. These development activities include modernizing our online product offerings for treasury services, digital banking, capital markets services, and our next-generation core banking platform. We expect to continue investing an appropriate level of resources to maintain, enhance and extend the functionality of our proprietary systems and software applications, to develop new and innovative software applications and systems to address emerging technology trends in response to the needs of our clients, and to enhance the resilience of our enterprise systems and the capabilities of our outsourcing infrastructure.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technology development process, we evaluate current and emerging technologies for compatibility with our existing and future software platforms and apply those that best support the evolving needs of our clients. In particular, we are strengthening our integration across software ecosystems, creating a consolidated enterprise data infrastructure, enhancing AI capabilities and readiness, and selectively pursuing outsourcing opportunities in technology and operations to support resiliency, agility and cost control. We are expanding AI capabilities of our key solutions through a combination of in-house development and partnership with industry leaders, with a focus on agentic capabilities and the development of select use cases in collaboration with clients.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solutions are subject to a broad range of complex federal, state, and international regulations and requirements, as well as requirements under the rules of self-regulatory organizations including, without limitation, federal truth-in-lending and truth-in-savings rules, federal, state and international money transmission laws, state cybersecurity protection laws, data protection and privacy laws, cyber resilience laws, AI laws, usury laws, environmental, climate change, and sustainability laws and requirements, laws governing state trust charters, the Equal Credit Opportunity Act, the Electronic Funds Transfer Act, the Fair Credit Reporting Act, the Fair Debt Collection Practices Act, the Bank Service Company Act, the Bank Secrecy Act, the USA Patriot Act, the United Kingdom ("U.K."). Money Laundering Regulations, the U.K. Proceeds of Crime Act, the U.K. Criminal Finances Act, the U.K. Sanctions and Anti-Money Laundering Act, the U.K. Economic Crime and Corporate Transparency Act, the European Union ("E.U.") Anti-Money Laundering Directives, the Internal Revenue Code, the Employee Retirement Income Security Act, the Health Insurance Portability and Accountability Act, the Community Reinvestment Act and the Dodd-Frank Wall Street Reform and Consumer Protection Act (the "Dodd-Frank Act"), the Securities Exchange Act of 1934, the Investment Advisors Act of 1940 (the "1940 Act"), anti-corruption laws including the U.S. Foreign Corrupt Practices Act of 1977 (the "FCPA") and the U.K. Bribery Act 2010 (the "U.K. Bribery Act"), the rules and regulations of the Financial Industry Regulatory Authority ("FINRA"), the Securities and Exchange Commission ("SEC"), the Federal Financial Institutions Examination Council ("FFIEC"), the Consumer Financial Protection Bureau ("CFPB"), the Financial Conduct Authority in the U.K. ("FCA"), the Central Bank of Ireland in the Republic of Ireland ("CBI"), the Commission de Surveillance du Secteur Financier in Luxembourg ("CSSF"), the Jersey Financial Services Commission in Jersey, Channel Islands ("JFSC") and state financial services regulators (including enforcement of state cybersecurity laws). The compliance of our solutions with these and other applicable laws and regulations depends on a variety of factors, including the manner in which our clients use them. In some cases, we are directly subject to regulatory oversight and examination. In other cases, our clients are contractually, or as a matter of law, responsible for determining what is required of them under applicable laws and regulations and utilize our solutions to achieve compliance with those laws and regulations. In some cases, we may be required to support our clients in achieving compliance with certain laws and regulations by virtue of the services that we provide to them. For example, under the E.U. Digital Operational Resilience Act ("DORA"), which came into force in January 2025, our E.U. financial entity clients require us, as a designated "critical third-party provider" of information and communication technology services, to contract with and manage our relationships with them (and, where applicable, our relationships with critical third-party technology vendors in our supply chain) in accordance with the requirements of DORA. Failure to support our clients in achieving compliance with DORA and similar global regulatory regimes may cause us to lose revenue or clients and/or result in damage to our reputation, and may also attract scrutiny from regulators. In any event, the failure of our solutions to comply with applicable laws and regulations may result in suspension or revocation of permission-based regulatory licenses, restrictions on our ability to provide those solutions, the imposition of civil fines and/or criminal penalties, loss of client trust, and/or reputational damage. Further, regulatory authorities have the power to, among other things, enjoin "unsafe or unsound" practices, require affirmative actions to correct any violation or practice, issue administrative orders that can be judicially enforced and direct the sale of subsidiaries or other assets. We may be adversely affected by increased regulatory scrutiny or related negative publicity.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areas of regulation impacting our business are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Oversight by Banking Regulators.</w:t>
      </w:r>
      <w:r>
        <w:rPr>
          <w:color w:val="000000"/>
        </w:rPr>
        <w:t xml:space="preserve"> </w:t>
      </w:r>
      <w:r>
        <w:rPr>
          <w:rFonts w:ascii="Times New Roman;serif" w:hAnsi="Times New Roman;serif"/>
          <w:b w:val="false"/>
          <w:color w:val="000000"/>
          <w:sz w:val="20"/>
        </w:rPr>
        <w:t>As a provider of electronic data processing and back-office services to financial institutions, FIS is subject to regulatory oversight and examination by the FFIEC, an interagency body of federal banking regulators including the Federal Deposit Insurance Corporation ("FDIC"), the Office of the Comptroller of the Currency ("OCC"), the Board of Governors of the Federal Reserve System ("FRB"), the National Credit Union Administration ("NCUA") (collectively, the Federal Banking Agencies or "FBA") and the CFPB, including as part of the Multi-Regional Data Processing Servicer ("MDPS") program. The MDPS program includes technology suppliers that provide mission-critical applications for a large number of financial institutions that are regulated by multiple regulatory agencies. Periodic information technology examination assessments are performed using FFIEC Interagency guidelines to identify potential risks that could adversely affect serviced financial institutions, determine compliance with applicable laws and regulations that affect the services provided to financial institutions, and ensure the solutions we provide to financial institutions do not create systemic risk to the banking system or impact the safe and sound operation of the financial institutions for which we process. In addition, independent auditors annually review several of our operations to provide reports on internal controls for our clients. We are also subject to review and examination by state and international regulatory authorities under state and foreign laws and rules that regulate many of the same activities that are described above, including electronic data processing, payments and back-office services for financial institutions and the use of consumer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U.S.-based wealth and retirement business holds a charter in the state of Georgia, which makes us subject to the regulatory compliance requirements of the Georgia Department of Banking and Finance. As a result, we are also authorized to provide trust services in various additional states subject to additional applicable state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Payment Services Oversight.</w:t>
      </w:r>
      <w:r>
        <w:rPr>
          <w:color w:val="000000"/>
        </w:rPr>
        <w:t xml:space="preserve"> </w:t>
      </w:r>
      <w:r>
        <w:rPr>
          <w:rFonts w:ascii="Times New Roman;serif" w:hAnsi="Times New Roman;serif"/>
          <w:b w:val="false"/>
          <w:color w:val="000000"/>
          <w:sz w:val="20"/>
        </w:rPr>
        <w:t xml:space="preserve">Our payment services businesses provide technology services to U.S. financial institutions and are, therefore, subject to oversight and examination by the FFIEC. Our payment services businesses are also subject to regulation, supervision, and enforcement authority of numerous governmental and regulatory bodies in the jurisdictions in which they operate, which include the CFPB and U.S. state regulators. These various regulatory regimes require compliance in respect of many aspects of our payment services businesses including without limitation corporate governance and oversight functions, capital requirements, liquidity, safeguarding, fee regulation adherence, technology and cyber resilience, anti-money laundering and sanctions.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Anti-Money Laundering.</w:t>
      </w:r>
      <w:r>
        <w:rPr>
          <w:color w:val="000000"/>
        </w:rPr>
        <w:t xml:space="preserve"> </w:t>
      </w:r>
      <w:r>
        <w:rPr>
          <w:rFonts w:ascii="Times New Roman;serif" w:hAnsi="Times New Roman;serif"/>
          <w:b w:val="false"/>
          <w:color w:val="000000"/>
          <w:sz w:val="20"/>
        </w:rPr>
        <w:t>The Company is subject to, both directly and indirectly, various anti-money laundering laws and regulations such as the Bank Secrecy Act in the United States and the Money Laundering Regulations and Proceeds of Crime Act in the U.K. These laws, among other requirements, impose obligations to develop and implement risk-based anti-money laundering programs, file regulatory reports on large cash transactions and suspicious activity, and collect and maintain certain records related to customers and transactions. Many U.S. states have similar laws that overlap with, and in some cases diverge from, U.S. federal and international laws. While these federal, state and international laws are broadly consistent, there may be circumstances where the requirements of a particular jurisdiction conflict with those of other jurisdictions. As these laws continue to develop and expand, our investment in compliance with these laws continues to grow, as does the cost of ongoing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Sanctions.</w:t>
      </w:r>
      <w:r>
        <w:rPr>
          <w:color w:val="000000"/>
        </w:rPr>
        <w:t xml:space="preserve"> </w:t>
      </w:r>
      <w:r>
        <w:rPr>
          <w:rFonts w:ascii="Times New Roman;serif" w:hAnsi="Times New Roman;serif"/>
          <w:b w:val="false"/>
          <w:color w:val="000000"/>
          <w:sz w:val="20"/>
        </w:rPr>
        <w:t>The Company is subject to certain U.S. federal, state and international economic and trade sanctions programs, such as those that are administered by the U.S. Treasury's Office of Foreign Assets Control (referred to as "OFAC"), which prohibit or restrict transactions to or from, or dealings with, specified countries and regions, their governments, and in certain circumstances, their nationals, and with individuals and entities that are specially-designated nationals, narcotics traffickers, and terrorists or terrorist organizations. Similar programs exist in a number of other jurisdictions, most notably those administered by the Office of Financial Sanctions Implementation ("OFSI") in the U.K., E.U. sanctions, and United Nations sanctions. We have implemented policies, procedures, and internal controls that are designed to comply with global economic sanctions programs which are increasingly complex and rapidly evolving in response to geopolitical events. Those policies and procedures require the screening of third parties with which the Company does business, including clients and vendors, and transactions where appropriate.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Anti-Corruption.</w:t>
      </w:r>
      <w:r>
        <w:rPr>
          <w:color w:val="000000"/>
        </w:rPr>
        <w:t xml:space="preserve"> </w:t>
      </w:r>
      <w:r>
        <w:rPr>
          <w:rFonts w:ascii="Times New Roman;serif" w:hAnsi="Times New Roman;serif"/>
          <w:b w:val="false"/>
          <w:color w:val="000000"/>
          <w:sz w:val="20"/>
        </w:rPr>
        <w:t>The Company is subject to applicable anti-corruption laws, including the FCPA and the U.K. Bribery Act, in the jurisdictions in which it operates. Anti-corruption laws generally prohibit offering, promising, giving, or authorizing others to give, anything of value, either directly or indirectly, to a government official or private party in order to influence official action or otherwise to gain an unfair business advantage, such as to obtain or retain business. The Company has implemented policies, procedures, training and internal controls that are designed to comply with such laws, rules and regulations.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Privacy and Data Protection.</w:t>
      </w:r>
      <w:r>
        <w:rPr>
          <w:color w:val="000000"/>
        </w:rPr>
        <w:t> </w:t>
      </w:r>
      <w:r>
        <w:rPr>
          <w:rFonts w:ascii="Times New Roman;serif" w:hAnsi="Times New Roman;serif"/>
          <w:b w:val="false"/>
          <w:color w:val="000000"/>
          <w:sz w:val="20"/>
        </w:rPr>
        <w:t>The Company is subject to an increasing number of privacy and data protection laws, regulations and directives globally, including the General Data Protection Regulation ("GDPR") in the E.U., the California Consumer Privacy Act ("CCPA") as amended by the California Privacy Rights Act ("CPRA"), and various consumer privacy acts in other U.S. states that have followed, the Gramm-Leach-Bliley Act ("GLBA"), the Fair Credit Reporting Act ("FCRA"), and the Health Insurance Portability and Accountability Act ("HIPAA") in the United States; the U.K.'s General Data Protection Regulation ("U.K. GDPR") and Data Protection Act 2018; the General Personal Data Protection Act ("LGPD") in Brazil; the China Personal Information Protection Law ("PIPL"); and the Japanese Act on the Protection of Personal Information ("APPI") (referred to collectively as "Privacy Laws"). Many of these Privacy Laws place restrictions on the Company's ability to efficiently transfer, access and use personal data across its business. The legislative and regulatory landscape for privacy and data protection continues to evolve.</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 xml:space="preserve">Our financial institution clients operating in the U.S. are required to comply with privacy regulations imposed under the GLBA and numerous similar state laws. GLBA and those state laws place restrictions on the use of non-public personal information. All financial institutions must disclose detailed privacy policies to their customers and offer them the opportunity to direct the financial institution not to share information with third parties. The regulations under GLBA, however, permit financial institutions to share information with non-affiliated parties who perform services for the financial institutions. As a provider of solutions to financial institutions, we are required to comply with the Privacy Laws and are bound by the same limitations on disclosure of the information received from our clients as apply to the financial institutions themselves. A determination that there have been violations of Privacy Laws could expose us to significant damage or compensation awards, fines and other penalties that could, individually or in the aggregate, materially harm our business and reputation. </w:t>
      </w:r>
      <w:r>
        <w:rPr>
          <w:rFonts w:ascii="Times New Roman;serif" w:hAnsi="Times New Roman;serif"/>
          <w:b w:val="false"/>
          <w:color w:val="2C2C2C"/>
          <w:sz w:val="20"/>
        </w:rPr>
        <w:t>Certain operations of the Company are also subject to newer, comprehensive, U.S. state-level privacy laws that provide consumers with additional data protection rights, including the right to be informed about the personal information collected by third parties and the use of that personal information, and which also impose obligations on companies in connection with the use of personal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the E.U.’s GDPR, which applies to all organizations processing the personal data of individuals in the E.U., regardless of where such organization is based. The GDPR has heightened our privacy and data protection compliance obligations, impacted our businesses' collection, processing and retention of personal data and imposed stricter standards for reporting personal data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Oversight by Securities Regulators. </w:t>
      </w:r>
      <w:r>
        <w:rPr>
          <w:rFonts w:ascii="Times New Roman;serif" w:hAnsi="Times New Roman;serif"/>
          <w:b w:val="false"/>
          <w:color w:val="000000"/>
          <w:sz w:val="20"/>
        </w:rPr>
        <w:t>Our subsidiary that conducts our broker-dealer business in the U.S. is registered as a broker-dealer with the SEC, is a member of FINRA, and is registered as a broker-dealer in numerous states. Our broker-dealer is subject to regulation and oversight by the SEC. In addition, FINRA, a self-regulatory organization that is subject to oversight by the SEC, adopts and enforces rules governing the conduct, and examines the activities, of its member firms, including our broker-dealer. State securities regulators and various exchanges, including the New York Stock Exchange, also have regulatory or oversight authority over our broker-dealer. Broker-dealers are subject to regulations that cover all aspects of the securities business, including sales methods, trade practices among broker-dealers, public and private securities offerings, use and safekeeping of customers' funds and securities, capital structure, record 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subsidiaries also include an SEC-registered transfer agent. Our registered transfer agent is subject to the Securities Exchange Act of 1934 and the rules and regulations promulgated thereunder. These laws and regulations generally grant the SEC and other supervisory bodies broad administrative powers to address non-compliance with regulatory requirements. Sanctions that may be imposed for non-compliance with these requirements include the suspension of individual employees, limitations on engaging in certain activities for specified periods of time or for specified types of clients, the revocation of registrations, other censures and significant fines.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Subsidiaries engaged in activities outside the U.S. are regulated by various government agencies in the particular jurisdiction where they are chartered, incorporated and/or conduct their business activity. For example, pursuant to the U.K. Financial Services and Markets Act 2000 ("FSMA"), certain of our subsidiaries are subject to regulations promulgated and administered by the FCA. The FSMA and rules promulgated thereunder govern all aspects of the U.K. investment business, including sales, research and trading practices, provision of investment advice, use and safekeeping of client funds and securities, regulatory capital, recordkeeping, margin practices and procedures, approval standards for individuals, financial crime systems and controls, periodic reporting and settlement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Money Transfer.</w:t>
      </w:r>
      <w:r>
        <w:rPr>
          <w:color w:val="000000"/>
        </w:rPr>
        <w:t> </w:t>
      </w:r>
      <w:r>
        <w:rPr>
          <w:rFonts w:ascii="Times New Roman;serif" w:hAnsi="Times New Roman;serif"/>
          <w:b w:val="false"/>
          <w:color w:val="000000"/>
          <w:sz w:val="20"/>
        </w:rPr>
        <w:t xml:space="preserve">Our cash access and money transmission business is a Canadian FINTRAC-regulated Money Services Business (MSB) and a Payment Service Provider (PSP) and is governed by federal or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including but not limited to the Proceeds of Crime (Money Laundering) and Terrorist Financing Act (PCMLTFA) which is overseen by FINTRAC and requires MSBs to implement an AML compliance program (including appointing a compliance officer), conduct KYC and customer due diligence, and maintain records and report suspicious transactions, large cash transactions, and electronic funds transfers, and the Retail Payment Activities Act (RPAA) which is administered by the Bank of Canada and applies to PSPs performing retail payment activities (e.g., holding end-user funds, processing payments), which requires registration and adherence to operational risk and safeguarding standards. This business may also be subject to provincial, state or other local licensing requirements, which have been obtained where applicable, and the Company has processes for monitoring changing legal and regulatory requirements.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Consumer Reporting and Protection.</w:t>
      </w:r>
      <w:r>
        <w:rPr>
          <w:color w:val="000000"/>
        </w:rPr>
        <w:t> </w:t>
      </w:r>
      <w:r>
        <w:rPr>
          <w:rFonts w:ascii="Times New Roman;serif" w:hAnsi="Times New Roman;serif"/>
          <w:b w:val="false"/>
          <w:color w:val="000000"/>
          <w:sz w:val="20"/>
        </w:rPr>
        <w:t>Our decision solutions subsidiary, ChexSystems, maintains a database of consumer information used to provide various account ope</w:t>
      </w:r>
      <w:r>
        <w:rPr>
          <w:rFonts w:ascii="Times New Roman;serif" w:hAnsi="Times New Roman;serif"/>
          <w:b w:val="false"/>
          <w:color w:val="2C2C2C"/>
          <w:sz w:val="20"/>
        </w:rPr>
        <w:t>ning services, including credit scoring analysis, and is subject to the Federal Fair Credit Reporting Act ("FCRA") and similar state laws. The FCRA regulates consumer reporting agencies ("CRAs"), including ChexSystems, and governs the accuracy, fairness, and privacy of information in the files of CRAs that engage in the practice of assembling or evaluating certain information relating to consumers for certain specified purposes. CRAs are required to follow reasonable procedures to ensure maximum possible accuracy of information concerning the individual to whom the report relates and, if a consumer disputes the accuracy of any information in the consumer's file, to conduct a reasonable investigation within statutory timelines. The FCRA imposes many other requirements on CRAs and users of consumer report information. Regulatory enforcement of the FCRA is under the purview of the United States Federal Trade Commission</w:t>
      </w:r>
      <w:r>
        <w:rPr>
          <w:rFonts w:ascii="Times New Roman;serif" w:hAnsi="Times New Roman;serif"/>
          <w:b w:val="false"/>
          <w:color w:val="000000"/>
          <w:sz w:val="20"/>
        </w:rPr>
        <w:t>, the CFPB, and state attorneys general, acting alone or in concert with one another. CRAs are also regulated by a number of states, including New York, with consumer reporting laws that are not pre-empted by the FCRA. In furtherance of our objectives of data accuracy, fair treatment of consumers, protection of consumers' personal information, and compliance with these laws, we have made considerable investment to maintain a high level of security for our computer systems in which consumer data resides, and we maintain consumer relations call centers to facilitate accurate and timely handling of consumer requests for information and disputes. We also are focused on ensuring our operating environments safeguard and protect consumers' personal information in compliance with these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consumer-facing businesses are subject to federal and state consumer protection laws governing unfair, deceptive or abusive acts or practices ("UDAAP").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U.K. regulated entity, Platform Securities LLP, is required to comply with the FCA’s Consumer Duty (the "Duty") in connection with its Wealth business. The Duty sets high standards of consumer protection across financial services and requires firms to put their customers' needs first.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Debt Collection.</w:t>
      </w:r>
      <w:r>
        <w:rPr>
          <w:color w:val="000000"/>
        </w:rPr>
        <w:t> </w:t>
      </w:r>
      <w:r>
        <w:rPr>
          <w:rFonts w:ascii="Times New Roman;serif" w:hAnsi="Times New Roman;serif"/>
          <w:b w:val="false"/>
          <w:color w:val="000000"/>
          <w:sz w:val="20"/>
        </w:rPr>
        <w:t>Our collection services are subject to the Federal Fair Debt Collection Practices Act and various state collection laws and licensing requirements. The Federal Trade Commission, as well as state attorneys general and other agencies, have enforcement responsibility over the collection laws, as well as the various credit reporting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Digital Operational Resilience. </w:t>
      </w:r>
      <w:r>
        <w:rPr>
          <w:rFonts w:ascii="Times New Roman;serif" w:hAnsi="Times New Roman;serif"/>
          <w:b w:val="false"/>
          <w:color w:val="000000"/>
          <w:sz w:val="20"/>
        </w:rPr>
        <w:t>In November 2025, the European Supervisory Authorities ("ESAs") designated the Company as a Critical Third-Party Provider ("CTPP") of Information and Communication Technology ("ICT") Services under DORA. This designation places us under the direct supervision and oversight of the ESAs with respect to DORA compliance and the management of operational and cyber risks for our clients in the European financial sector.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AI Regulation</w:t>
      </w:r>
      <w:r>
        <w:rPr>
          <w:rFonts w:ascii="Times New Roman;serif" w:hAnsi="Times New Roman;serif"/>
          <w:b w:val="false"/>
          <w:color w:val="000000"/>
          <w:sz w:val="20"/>
        </w:rPr>
        <w:t xml:space="preserve">. Lawmakers and regulators around the world are considering legislation or rules to govern the use and deployment of AI. The EU AI Act, Regulation (EU) 2024/1689, is now in effect and has requirements for risk assessment, data quality, logging, transparency and restrictions on cognitive behavioral interference or automated decision making. In the U.S., Executive Orders have directed federal agencies to consider the risks and rewards of AI in forthcoming regulations. Many U.S. states have also considered legislation to regulate AI that may affect the Company or its business.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foregoing list of laws and regulations to which our Company is subject is not exhaustive, and the regulatory framework governing our operations changes continuously. Enactment of new laws and regulations may increasingly affect the operations of our business, directly and indirectly, which could result in substantial regulatory compliance costs, litigation expense, adverse publicity, and/or loss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212529"/>
          <w:sz w:val="20"/>
        </w:rPr>
      </w:pPr>
      <w:r>
        <w:rPr>
          <w:rFonts w:ascii="Times New Roman;serif" w:hAnsi="Times New Roman;serif"/>
          <w:b/>
          <w:i/>
          <w:color w:val="212529"/>
          <w:sz w:val="20"/>
        </w:rPr>
        <w:t>Employee Population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more than 44,000 employees, including over 27,000 employees principally employed outside of the U.S. None of our U.S. workforce currently is unionized. Approximately 2,000 of our employees, primarily in Brazil and Europe, are represented by labor unions or works councils as of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Health and Safety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health and safety of our employees is a key priority. We have implemented a comprehensive wellness program focused on all aspects of employee wellness – physical, mental, social, and financial. Initiatives under this program are designed to promote healthy lifestyle habits.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operate FIS Cares, a global employee-funded giving program designed to help our employees in times of need. We remain committed to providing a safe working environment that minimizes health risks and prioritizes physical safety.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 Culture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212529"/>
          <w:sz w:val="20"/>
        </w:rPr>
      </w:pPr>
      <w:r>
        <w:rPr>
          <w:rFonts w:ascii="Times New Roman;serif" w:hAnsi="Times New Roman;serif"/>
          <w:b w:val="false"/>
          <w:color w:val="212529"/>
          <w:sz w:val="20"/>
        </w:rPr>
        <w:t xml:space="preserve">Our culture stems from embracing our corporate values as we work together to win as one team, lead with integrity and strive to "be the change" for our employees, clients and communities. Our culture is not just a set of values on a wall; it is a daily operating system. We embed behaviors, decision-making norms, and expectations into how we work, and we hold leaders accountable for modeling these behaviors consistently. Inclusion and belonging remain at the heart of our values. We foster a respectful, inclusive environment that enables innovation and collaboration, ensuring we deliver the best solutions for our clients and partners. The Chief Executive Officer and Chief People Officer regularly update our Board of Directors on human capital management and culture, reinforcing its strategic importance.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212529"/>
          <w:sz w:val="20"/>
        </w:rPr>
      </w:pPr>
      <w:r>
        <w:rPr>
          <w:rFonts w:ascii="Times New Roman;serif" w:hAnsi="Times New Roman;serif"/>
          <w:b w:val="false"/>
          <w:color w:val="212529"/>
          <w:sz w:val="20"/>
        </w:rPr>
        <w:t>Culture is measurable, observable, and operational. We do not rely solely on lagging engagement scores. Instead, we use regular pulse surveys focused on specific topics that matter most. This approach gives us real-time insight into colleague sentiment, enabling leaders to respond quickly and make informed decisions that strengthen trust, alignment, and a supportive work environment.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Talent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are primary stakeholders in our success, and we place a strategic priority on developing talent and creating an environment where individuals can thrive. Our approach is future-focused and designed to equip leaders and teams with the skills needed to enable business growth and exceed client expectations.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talent development program provides an enterprise-wide, systematic foundation for career development tied to learning paths that enable skills development. Traditional leadership programs are being replaced by customized, digital-first development experiences tailored to individual needs. We will offer micro-learning, peer coaching, and customized development opportunities that meet leaders where they are, when they need it. Our learning roadmap, ‘Building Our Leaders of Tomorrow,’ is supported by self-paced online resources, virtual instructor-led sessions, and targeted programs for high-potential and senior leaders. We engage in executive-level succession planning and provide extensive opportunities to apply for open roles within our organization. Our talent development practices are underpinned by a comprehensive talent planning and feedback culture. We have moved beyond annual performance ratings to a model built on clarity and continuous feedback. Employees benefit from clear goals, real-time coaching, and shared accountability, ensuring they understand what success looks like and how they are tracking throughout the year.</w:t>
      </w:r>
    </w:p>
    <w:p>
      <w:pPr>
        <w:pStyle w:val="TextBody"/>
        <w:bidi w:val="0"/>
        <w:spacing w:before="0" w:after="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website address is www.fisglobal.com. We make our Annual Reports on Form 10-K, Quarterly Reports on Form 10-Q, and Current Reports on Form 8-K, and any amendments to those reports, available, free of charge, on that website as soon as reasonably practicable after we file or furnish them to the SEC. Our Corporate Governance Policy and Code of Business Conduct and Ethics are also available on our website and are available in print, free of charge, to any shareholder who mails a request to the Corporate Secretary, Fidelity National Information Services, Inc., 347 Riverside Avenue, Jacksonville, FL 32202 USA. Other corporate governance-related documents can be found at our website as well. However, the information found on our website is not a part of this or any other report.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normal risks of business, we are subject to significant risks and uncertainties, including those listed below and others described elsewhere in this Annual Report on Form 10-K. Any of the risks described herein, as well as risks currently unknown or immaterial, could result in a significant adverse effect on our business, financial condition or results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Business and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Security breaches, privacy breaches, cyberattacks, unintentional disclosures of confidential information, breaches of third party service providers, service outages, or a failure to comply with information security laws or regulations, contractual provisions, or industry security requirements by us, our vendors, clients, or technology partners could harm our business by disrupting delivery of services, exposing sensitive or confidential information, or damaging our reputation, any of which could result in a breach of one or more client contracts or regulatory investigations, enforcement actions, fines or litigation.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Cybersecurity is fundamental to our complex, global business. We and our vendors, service providers, technology partners, and clients electronically receive, process, store and transmit sensitive and confidential information of our business partners, clients and such clients' customers. We collect consumer personal data, such as names and addresses, Social Security Numbers, driver’s license numbers, financial account numbers, transactional history, cardholder data and payment history records. Such information is necessary to support our clients' transaction processing and to conduct our check authorization and collection businesses. We also collect personal data from our employees and contractors as necessary to support those relationships, comply with legal obligations, manage our workforce, and provide compensation and benefits. Our information systems and networks are dependent upon hardware, software, communication infrastructure and other technological components and services that are developed and managed by us or provided by third parties. These components require regular monitoring, patches, updates, or remediation of known or potential vulnerabilities. Implementation challenges in timely completing these tasks can lead to security vulnerabilities that expose us, our systems and data to potential compromise or interruption. Our information systems are also vulnerable to human error, including employees sending information to inadvertent recipients as well as employees inappropriately using AI tools, as well as malicious insider threats. Finally, the systems we rely on, which include hardware and software manufactured, developed or operated by third-party vendors and service providers, have in the past been subject to, and may in the future be subject to, cyberattacks or other security incidents due to employee error or malfeasance, software bugs, hardware malfunctions or other security vulnerabilities.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uninterrupted trustworthy operation of information systems operated by us, our vendors and service providers, and other third parties, as well as the confidentiality of the customer or consumer information that resides on such systems, is critical to the successful operation of our Company. For that reason, compromises to the confidentiality, integrity or availability of our information systems or information are some of the principal operational risks we face as a provider of services to financial institutions and businesses. Like other such providers, we are a regular target of attempts to identify and exploit system vulnerabilities and/or penetrate or bypass our security measures to gain unauthorized access to our networks and systems. If we fail to maintain an adequate security infrastructure, adapt to emerging security threats (such as the use of AI by threat actors in furtherance of cyberattacks), the targeting of vendors who serve large numbers of customers for supply chain attacks, and business email compromises seeking fraudulent wire transfers regularly identify security vulnerabilities, prevent unauthorized access, identity theft or other cybersecurity risks (e.g., distributed denial of service, ransomware, and other cyberattacks), manage vendor or supply chain cybersecurity risks, adequately train users of our information systems, or implement sufficient security standards and technology to protect against security or privacy breaches, then the confidentiality, integrity or availability of the information we secure could be compromised. Unauthorized access to, or abuse of authorized access to, our computer systems or databases or our vendors' computer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systems or databases could result in the theft or publication of confidential information and personal data, the deletion or modification of records, disruption of service delivery, installation of malware, and the potential need to pay ransom or otherwise cause interruptions in our operations. These issues could give rise to legal actions from clients and/or such clients' customers, regulatory investigations or enforcement activity, losses and expenses associated with such events, and damage to our reputation. Because we serve a diverse client base with different technology and service needs, we must continue to enhance our ability to manage the risks from the resulting diversity in potential security attacks.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provides a number of systemically critical services, including the settlement of funds for financial institutions, other businesses and consumers and receives funds from clients, card issuers, payment networks and consumers on a daily basis for a variety of transaction types. Transactions facilitated by us include debit card, credit card, electronic bill payment, banking payments and check clearing that support consumers, financial institutions and other businesses. Attempted or successful targeting of these systems by attackers may result in interruption of services, misuse of account information, or unauthorized transfer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provider of services to financial institutions and businesses, we are bound by many of the same limitations on disclosure of the information we receive from clients that apply to the clients themselves. If we fail to comply with these regulations and industry security requirements, including those imposed by the payment card industry through its digital security standards and other rules, we could be exposed to damages from legal actions from clients and/or their customers, governmental proceedings, public disclosure and consumer notification requirements, and the imposition of significant fines or prohibitions on providing services. We operate in a highly regulated environment and are subject to a myriad of complex, evolving regulations and standards, including cybersecurity and privacy laws, regulations and industry standards. This environment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In addition, if more restrictive privacy laws, data protection rules or industry security requirements are adopted in the future on the federal or state level, or by a non-U.S. jurisdiction in or from which we serve clients, or by a specific industry body, those changes could have an adverse impact on our Company through increased costs or by imposing changes or inefficiencies on business processes.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material privacy or security incident would trigger SEC disclosure obligations and could trigger other applicable disclosure requirements under state-level or non-U.S. laws or regulations, or be disclosed publicly, even if there is no legally required disclosure. Incident disclosure may increase the risks of private lawsuits or government enforcement action related to incidents, increase attention from malicious actors, and lead to greater regulatory scrutiny. The occurrence of any such incidents, and the related responses (if any) by regulators or third parties, may result in adverse publicity and reputational harm to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or appear to be unable, to prevent cybersecurity or privacy breaches, we risk reputational damage. Our existing clients could lose confidence in our information systems and consequently choose to terminate their agreements with us. Such reputational harm could also inhibit our ability to attract new clients; potentially increase government, regulatory, or media scrutiny; or give rise to new regulatory requirements that adversely affect our ability to do business in one or more parts of the world.</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If we fail to innovate or adapt our solutions to changes in technology or in the marketplace, or if our ongoing efforts to upgrade or implement our technology are not successful, we could lose clients, or our clients could lose customers, and we could have difficulty attracting new clients for our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our solutions are characterized by constant technological changes, frequent introductions of new solutions and evolving industry expectations. Our future success will be significantly affected by our ability to enhance our current solutions and develop and introduce new solutions and services that address the increasingly sophisticated needs of our clients and their customers. In addition, as more of our revenue and market demand shifts to software as a service ("SaaS"), business process as a service ("BPaaS"), cloud, and new emerging technologies, the need to keep pace with rapid technology changes becomes more acute. These initiatives carry the risks associated with any new solution development effort, including cost overruns, delays in delivery and implementation, and performance issues. There can be no assurance that we will be successful in developing, marketing and selling new solutions or enhancements that meet these changing demands. If we are not successful in these efforts, we could lose clients, or our clients could lose customers, and we could have difficulty attracting new clients for our solutions. Any of these developments could have an adverse impact on our future revenue and/or business prospects.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operate in a competitive business environment; if we are unable to compete effectively, our business, financial condition or results of operations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our solutions is intensely competitive. Our competitors in Banking and Capital Markets vary in size and in the scope and breadth of the solutions and services they offer. Some of our competitors have substantial resources. We face direct competition from third parties, and because many of our larger potential clients have historically developed their key applications in-house and, therefore, view their system requirements from a make-versus-buy perspective, we also often compete against our potential clients' in-house capacities. In addition, the markets in which we compete have recently attracted increasing competition from smaller start-ups with emerging technologies which are receiving increasing investments, as well as global banks (and businesses controlled by combinations of global banks) and global internet companies that are introducing competitive solutions and services into the marketplace, particularly in the payments area. Emerging technologies and increased competition may also have the effect of unbundling bank solutions and may result in displacing solutions that we are currently providing from our legacy systems. International competitors are also now targeting and entering the U.S. market with greater force. There can be no assurance that we will be able to compete successfully against current or future competitors or that the competitive pressures we face in the markets in which we operate will not materially adversely affect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Global economic, political and other conditions, including business cycles and consumer confidence, as well as geopolitical conflicts, may adversely affect our clients or trends in consumer spending, which may adversely impact the demand for our services and our revenue and profitability.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from transaction processing fees. The global transaction processing industries depend heavily upon the overall level of consumer, business and government spending. Any change in economic factors, including a sustained deterioration in general economic conditions or consumer confidence, particularly in the U.S., or inflation and increases in interest rates in key countries in which we operate may adversely affect consumer spending, consumer debt levels and payment card usage, and as a result, adversely affect our financial performance by reducing the number or average purchase amount of transactions that we service. In addition, the direct and indirect effects of geopolitical conflicts, such as the Russia-Ukraine war and conflicts in the Middle East, have adversely affected global economic activity and transaction processing volumes. Worsening, or future, geopolitical conflicts could materially adversely affect global economic activity and our transaction volumes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there is a slowdown or downturn in the economy, a drop in stock market levels or trading volumes, or an event that disrupts the financial markets, our business, financial condition or results of operations may suffer for a number of reasons. Customers may react to worsening conditions by reducing or delaying their capital expenditures in general or by specifically reducing or delaying their information technology spending. Additionally, credit card issuers may reduce credit limits and become more selective in their card issuance practices, which would lower purchase volumes. In addition, customers may seek to curtail trading operations or to lower their costs by renegotiating vendor contracts. Moreover, competitors may respond to market conditions and attempt to lure away our customers by lowering prices on existing solutions or by offering new, lower-cost solutions. Any further protective trade policies or actions taken by the U.S. may also result in other countries reducing, or making more expensive, services permitted to be provided by U.S.-based companies. If any of these circumstances remain in effect for an extended period of time, there could be a material adverse effect on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business, financial condition or results of operations could be adversely affected by business interruptions, errors or failures in connection with our or third-party information technology and communication systems and other software and hardware used in connection with our business, or by design errors in the software solutions we offer, or more generally, by the unavailability of third-party services that we need to operate our business effectively.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services are based on sophisticated software and computing systems, and we may encounter delays when developing new technology solutions and services. Further, the technology solutions underlying our services have occasionally contained, and may in the future contain, undetected errors or defects when first introduced or when new versions are released. In addition, we may experience difficulties in installing or integrating our technologies on platforms used by our clients, or our clients may cancel a project after we have expended significant effort and resources to complete an installation. Finally, our systems and operations have been, and in the future could be, exposed to damage or interruption from fire, floods, severe weather events, natural disasters, power loss, telecommunications failure, unauthorized entry and computer viruses. Defects in our technology solutions or those of our third-party partners or elsewhere in the global cyber environment, errors or delays in the processing of electronic transactions, or other difficulties have resulted, and in the future could result, in (i) interruption of business operations; (ii) delay in market acceptance;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(iii) additional development and remediation costs; (iv) diversion of technical and other resources; (v) loss of clients; (vi) negative publicity; or (vii) exposure to liability claims. Any one or more of the foregoing could have an adverse effect on our business, financial condition or results of operations. We cannot be certain that control measures, including system redundancies, security controls, and application development and testing controls, will be successful in preventing disruption or limiting our exposure.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most of the solutions we offer are very complex software systems that are regularly updated. No matter how careful the design and development, complex software often contains errors and defects when first introduced and when major new updates or enhancements are released. If errors or defects are discovered in current or future solutions, then we may not be able to correct them in a timely manner, if at all. In our development of updates and enhancements to our software solutions, we may make a major design error that causes the solution to operate incorrectly or less efficiently. The failure of software to perform properly could result in the Company and its clients being subjected to losses or liability, including censures, fines, or other sanctions by the applicable regulatory authorities, and we could be liable to parties who are financially harmed by those errors. In addition, such errors could cause the Company to lose revenue, lose clients or suffer damage to its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generally depend on a number of third parties, both in the United States and internationally, to supply elements of our systems, computers, research and market data, connectivity, communication network infrastructure, other equipment and related support and maintenance. We cannot be certain that any of these third parties will be able to continue providing these services to meet our evolving needs effectively. If our vendors, or in certain cases vendors of our customers, fail to meet their obligations, provide poor or untimely service or suffer operational disruptions, and we are unable to make alternative arrangements for the provision of these services, then we may in turn fail to provide our services or to meet our obligations to our customers, and our business, financial condition or results of operations could be adversely affected. In addition, we rely on various financial institutions to provide treasury services in support of funds settlement for certain of our solutions. An inability to obtain such treasury services in the future could have a material adverse effect on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Entity mergers or consolidations and business failures in the banking and financial services industry could adversely affect our business by eliminating some of our existing and potential clients and making us more dependent on a more limited number of clients.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and may continue to be, consolidation activity in the banking and financial services industry. In addition, certain financial institutions that experienced negative operating results, including some of our clients, have failed, leading to further consolidation. These consolidations, including those spurred by failures, reduce our number of potential clients and may reduce our number of existing clients, which could adversely affect our revenue, even if the events do not reduce the aggregate activities of the consolidated entities. Further, if our clients or our partners across any of our businesses fail, merge with or are acquired by other entities that are not our clients or our partners, or that use fewer of our services, they may discontinue or reduce use of our services. It is also possible that larger financial institutions resulting from consolidations would have greater leverage in negotiating terms or could decide to perform in-house some or all of the services we currently provide or could provide. Any of these developments could have an adverse effect on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Failure to obtain new clients or renew client contracts on favorable terms could adversely affect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face pricing pressure in obtaining and retaining our clients. Larger clients may use their negotiating leverage to seek price reductions from us when they renew a contract, when a contract is extended, or when the client's business has significant volume changes. Larger clients may also reduce services if they decide to move services in-house. Further, our smaller and mid-size clients may also exert pricing pressure, particularly upon renewal, due to competition or other economic needs or pressures being experienced by the client. On some occasions, this pricing pressure results in lower revenue from a client than we had anticipated based on our previous agreement with that client. This reduction in revenue could adversely affect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 failures or sustained financial market disruptions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maintain domestic cash deposits in banks that are not subject to insurance protection against loss or exceed the deposit limits. We also maintain cash deposits in foreign banks where we operate, some of which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insured or are only partially insured. The failure of a bank, or events involving limited liquidity, defaults, non-performance or other adverse conditions in the financial or credit markets impacting financial institutions at which we maintain balances, or concerns or rumors about such events, may lead to disruptions in access to our bank deposits or otherwise adversely impact our liquidity and financial performance. There can be no assurance that our deposits in excess of the insurance limits will be backstopped by the U.S. or applicable foreign government, or that any bank or financial institution with which we do business will be able to obtain needed liquidity from other banks, government institutions or otherwise in the event of a failure or liquidity crisis.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clients, including those of our clients that are banks, may be similarly adversely affected by any bank failure or other event affecting financial institutions. Any resulting adverse effects to our clients' liquidity or financial performance could reduce the demand for our services or affect our allowance for credit losses and collectability of trade receivables. A significant change in the liquidity or financial position of our clients could cause unfavorable trends in receivable collections and cash flows and may necessitate additional allowances for anticipated losses. Any such additional allowances could materially and adversely affect our business, financial condition or results of operations.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instability, liquidity constraints or other distress in the financial markets, including the effects of bank failures, defaults, non-performance or other adverse developments that affect financial institutions, could impair the ability of one or more of the banks participating in our current or any future credit facilities to honor their commitments. This could have an adverse effect on our business if we were not able to replace those commitments or to locate other sources of liquidity on acceptable terms.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Company is subject to regulation, supervision, and enforcement authority of numerous governmental and regulatory bodies in the jurisdictions in which it operates.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Company is a technology service provider to U.S. financial institutions, it is subject to regular oversight and examination by the FBA, each agency of which is a member of the FFIEC, an interagency body of federal banking regulators. The FBA have broad discretion in the implementation, interpretation and enforcement of banking and consumer protection laws and use the FFIEC's uniform principles, standards and report forms in their review of bank service providers like FIS. A failure to comply with these laws, or a failure to meet the supervisory expectations of the banking regulators, could result in adverse action against the Company. The regulators have the authority to, among other things, enjoin "unsafe or unsound" practices; require affirmative actions to correct any violation or practice; issue administrative orders that can be judicially enforced; direct the sale of subsidiaries or other assets; and assess civil money penalties.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ongoing supervision by regulatory and governmental bodies across the world, including economic and conduct regulators, such as OFAC, BIS and FinCEN in the U.S., the FCA, OFSI and OTSI in the U.K., and regulatory and governmental bodies responsible for issuing anti-money laundering, anti-bribery, and global economic sanctions and export control regulations. These various regulatory regimes require compliance across many aspects of our activities. Among other things, such regulatory and financial crime compliance obligations require certain capital requirements; safeguarding, training, authorization, supervision and oversight of personnel, systems, processes, controls, and documentation; and reporting to government entities. As we continue to grow our global business around the world, we will become subject to additional countries' regulations governing critical third-party service providers, financial crime and other regulatory areas. Our failure to comply with any of these requirements could result in the suspension or revocation of a license, loss of consumer confidence, and/or the imposition of civil or criminal penalties.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business operations that store, process or transmit consumer information or have direct relationships with consumers. As such, we are obligated to comply with regulations, including, but not limited to, the FCRA, the Federal Fair Debt Collection Practices Act and applicable privacy requirements, and we are subject to examination and oversight by the CFPB. In addition, our wealth and retirement business holds a charter in the state of Georgia, which obligates us to comply with regulatory compliance requirements of the Georgia Department of Banking and Finance. Our U.S. wealth and retirement business is required to hold certain levels of regulatory capital as defined by the state banking regulator in Georgia. In the U.K., our Platform Securities and broker-dealer businesses are regulated by the FCA and are also subject to further regulatory capital requirements.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Consumer Financial Protection Bureau ("CFPB") continues to update and enforce rules and regulations for regulating financial and non-financial institutions and providers to those institutions to ensure adequate protection of consumer privacy and to ensure consumers are not impacted by deceptive business practices, as well as to provide examination and supervisory authority over consumer reporting agencies, including ChexSystems. These rules and regulations govern our clients or potential clients and also govern certain of our businesses. These regulations have resulted, and may further result, in the need for us to make capital investments to modify our solutions to facilitate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clients' and potential clients' compliance, as well as to deploy additional processes or reporting to comply with these regulations. In the future, we may need to incur additional expenses to ensure continued compliance with applicable laws and regulations and to investigate, defend and/or remedy actual or alleged violations. Further, requirements of these regulations have resulted, and could further result, in changes in our business practices, our clients' business practices and those of other marketplace participants that may alter the delivery of services to consumers, which have impacted, and could further impact, the demand for our solutions and services, as well as alter the types or volume of transactions that we process on behalf of our clients. As a result, these requirements, or proposed or future requirements, could have an adverse impact on our financial condition, revenue, results of operations, prospects for future growth and overall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New York Department of Financial Services has enacted rules that require covered financial institutions to establish and maintain cybersecurity programs. Other states also have data security laws that vary in several respects, including with regard to specificity and detail of requirements and the extent to which such requirements apply to the data we collect from individuals. These rules subject us to additional regulation and require us to adopt additional business practices that could also require additional capital expenditures or impact our operating results. Changes to state money transmission laws and regulations, including changing interpretations and the implementation of new or varying regulatory requirements, may result in the need for additional money transmitter licenses. These changes could result in increased costs of compliance, as well as fines or penalties.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One of our subsidiaries is an SEC-registered broker-dealer in the U.S. and is subject to the financial and operational rules of FINRA, and others are authorized by the FCA to conduct certain regulated business in the U.K. Our transfer agent business is also regulated by the SEC and other regulators around the world. Domestic and foreign regulatory and self-regulatory organizations, such as the SEC, FINRA, and the FCA, can, among other things, fine, censure, issue cease-and-desist orders against, and suspend or expel a broker-dealer or its officers or employees for failure to comply with the many laws and regulations that govern brokerage activities. Regulations affecting the brokerage industry may change, which could adversely affect our business, financial condition or results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Portions of FIS' European operations are in scope for regulatory oversight by European Supervisory Agencies (ESAs) as defined by DORA. FIS' designation as a Critical Third-Party Provider under DORA subjects us to additional and new regulatory oversight processes in the E.U. These changes could result in increased costs to compliance.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countries are also developing regulatory frameworks that govern critical third-party providers to the financial services sector, which may result in increased costs of compliance. For example, in the U.K., HM Treasury has powers to designate critical third-party providers to the financial services sector, subjecting them to additional regulatory oversight and obligations regarding reporting, incident management and testing.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certain risks relating to the execution services provided by our brokerage operations to our customers and counterparties, which include other broker-dealers, active traders, hedge funds, asset managers, and other institutional and non-institutional clients. These risks include, but are not limited to, customers or counterparties failing to pay for or deliver securities, trading errors, the inability or failure to settle trades, and trade execution system failures. As trading in the U.S. securities markets has become more automated, the potential impact of a trading error or a rapid series of errors caused by a computer or human error or a malicious act has increased. In our other businesses, we generally can disclaim liability for trading losses that may be caused by our software, but in our brokerage operations, we may not be able to limit our liability for trading losses or failed trades, even when we are not at fault. As a result, we may suffer losses that are disproportionately large compared to the relatively modest profit contributions of our brokerage operations. </w:t>
      </w:r>
    </w:p>
    <w:p>
      <w:pPr>
        <w:pStyle w:val="TextBody"/>
        <w:bidi w:val="0"/>
        <w:spacing w:before="0" w:after="0"/>
        <w:ind w:left="0" w:right="0" w:firstLine="360"/>
        <w:jc w:val="left"/>
        <w:rPr/>
      </w:pPr>
      <w:r>
        <w:rPr/>
      </w:r>
    </w:p>
    <w:p>
      <w:pPr>
        <w:pStyle w:val="TextBody"/>
        <w:bidi w:val="0"/>
        <w:spacing w:lineRule="auto" w:line="30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the legislative and regulatory landscape continues to evolve, and we expect that it may cover alternative payment types, including digital and crypto currencies. The regulatory environment for crypto assets, stablecoins, and digital currencies is rapidly evolving, with increased oversight from U.S. agencies such as the SEC, CFTC, and FinCEN, as well as global counterparts. Recent developments, including the European Union’s Markets in Crypto-Assets (MiCA) regulation, U.S. legislation such as the GENIUS Act, and other legislative initiatives, signal a trend toward increased oversight, more robust compliance obligations, and a move toward harmonized global standards. FIS closely monitors regulatory changes, to ensure any existing or new business models, product offerings, and risk and compliance programs adapt to new regulatory requirements. Any failure to comply with such laws and regulations could expose us to liability, regulatory scrutiny and/or reputational damage. Financial crimes laws may be interpreted and applied inconsistently from country to country and may impose inconsistent or conflicting requirements. Complying with varying jurisdictional requirements could increase the costs and complexity of compliance, including associated recordkeeping costs, or could require us to change our business practices in a manner adverse to our business.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business may be constrained by current and future laws and regulations governing the development, use and deployment of AI (including machine learning) technologies. These laws and regulations are continuously and rapidly evolving, and there is no single global regulatory framework for AI, creating further uncertainties regarding compliance with such laws and regulations. As a result, our ability to leverage AI could be restricted by burdensome and costly regulatory requirements.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some markets in which we operate, our clients require us to support them in achieving compliance with increasingly complex and prescriptive regulatory requirements relating to digital operational resilience. For example, under DORA, our E.U. financial entity clients require us, as a designated Critical Third-Party Provider of information and communication technology services, to contract with and manage our relationships with such clients (and, where applicable, our relationships with other critical third-party technology vendors in our supply chain) in accordance with the requirements of DORA. Failure to support our clients in achieving compliance with DORA and similar global regulatory regimes may cause us to lose revenue, clients, and/or result in damage to our reputation, and may also attract scrutiny from regulators.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comply with relevant laws or regulations, then we risk reputational damage, potential civil and criminal sanctions, fines or other action imposed by regulatory or governmental authorities, including the potential suspension or revocation of the permission-based regulatory licenses which authorize the Company to provide core services to customers. Regulatory authorities subject our businesses, from time to time, to regulatory investigations, reviews, examinations and proceedings (both formal and informal), some of which have the potential to result in settlements, fines, penalties, injunctions or other adverse consequences to us. This could result in an adverse effect on FIS' business, reputation and customer relationships, which in turn could adversely affect its financial position and performance.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Many of our clients are subject to a regulatory environment and to industry standards that may change in a manner that reduces the types or volume of solutions or services we provide or may reduce the types or number of transactions in which our clients engage, and therefore reduce our revenue.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clients are subject to many, varied and evolving government regulations and industry standards with which our solutions must comply. Our clients must ensure that our solutions and related services work within the extensive and evolving regulatory and industry requirements applicable to them. Federal, state, foreign or industry authorities could adopt laws, rules or regulations affecting our clients' businesses that could lead to increased operating costs and could reduce the convenience and functionality of our solutions, possibly resulting in reduced market acceptance. In addition, action by regulatory authorities relating to credit availability, data usage, privacy, or other related regulatory developments could have an adverse effect on our clients and, therefore, could have a material adverse effect on our financial condition, revenue, results of operations, prospects for future growth and overall business. Elimination of regulatory requirements could also adversely affect the sales of our solutions designed to help clients comply with complex regulatory environments.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Constantly evolving global privacy, data protection, cybersecurity, cyber resilience, and AI laws and regulations require the Company to adopt new business practices, update contractual provisions in existing and new contracts, and constantly update our global Privacy and Data Protection Program and our global Information Security Program, which may require transitional and incremental expenses and may impact our future operating results.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numerous global privacy, data protection, cybersecurity, cyber resilience, and AI laws and regulations, which are continuing to change in ways that impose increasingly complex and costly compliance obligations on us and that have had, and are expected to continue to have, a significant impact on our operations. Failure to comply with applicable data protection laws, as well as new and evolving laws and regulations in these areas, could result in significant penalties, damage to our reputation, and loss of business. Additionally, a breach of applicable data protection laws may result in regulatory investigations, reputational damage, orders to cease or change our data processing activities, enforcement notices, assessment notices (for a compulsory audit) and/or civil claims (including class actions). We have incurred, and will continue to incur, costs to comply with these evolving laws and regulations. There are several additional laws being considered by state legislatures, the U.S. Congress, and governments around the world. As a result, we expect that a more substantial effort to comply with varying regimes in different jurisdictions will continue to be necessary in the future, which has the potential to further increase the cost and complexity of our business. Moreover, privacy, data protection, cybersecurity, cyber resilience, and AI laws may be interpreted and applied inconsistently from country to country and may impose inconsistent or conflicting requirements. Complying with varying jurisdictional requirements could increase the costs and complexity of compliance and associated recordkeeping costs or require us to change our business practices in a manner adverse to our business and to incur additional costs. Since we are subject to the supervision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relevant data protection authorities under multiple legal regimes, we could be fined under those regimes independently in respect of the same breach. Data localization requirements in evolving privacy, data protection, cybersecurity, cyber resilience, and AI laws could also increase the cost and alter the approach to housing data around the world. In addition, our businesses are increasingly subject to laws and regulations relating to digital transformation, surveillance, encryption, and data onshoring in the jurisdictions in which we operate. For example, through requirements established under DORA and Network and Information Security Directive 2, Directive (EU) 2022/2555, (NIS2), E.U. regulators are increasingly seeking to mitigate cyber threats and enhance digital resilience within the financial and technological ecosystem through new regulations targeting the provision of critical third-party technology services. Compliance with these laws and regulations may require us to change our technology for information security, operational infrastructure, policies, and procedures, which could be time-consuming and costly and may result in additional regulatory burdens for the Company. Furthermore, compliance with these laws and regulations may indirectly impact us in circumstances where we act as a third-party service provider to clients, who are themselves subject to these laws and regulations and who will expect us to take appropriate steps to support them in achieving compliance.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High profile digital banking security breaches or information system failures could impact consumer payment behavior patterns in the future and reduce our transaction volumes.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unable to predict whether or when high profile digital banking security breaches or other information system failures will occur and, if they occur, whether consumers will reduce their digital banking service. If consumers reduce digital banking services, and we are not able to adapt to offer our clients alternative technologies, then our revenue and related earnings could be adversely affected.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BRICS countries are working to reduce their reliance on the U.S. dollar and Western financial infrastructure due to sanctions, wars, and tariffs. BRICS is an international organization currently comprised of 11 countries, including Brazil, Russia, India, China, South Africa, Saudi Arabia, Egypt, United Arab Emirates, Ethiopia, Indonesia, and Iran. Intelligence sources, along with peer assessments and other observers, suggest that cyber actors from some of the BRICS countries may conduct attacks on payment infrastructure, including third-party fintech services, to undermine trust in the Western financial infrastructure.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Misappropriation of and infringement on our intellectual property and proprietary rights, or a finding that our patents are invalid, could impair our competitive position.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compete depends in some part upon our proprietary solutions and technology. Despite our efforts to protect our proprietary rights, unauthorized parties may attempt to copy aspects of our solutions or to obtain and use information that we regard as proprietary or challenge the validity of our patents with governmental authorities. In addition, use of AI technologies may result in the release of confidential or proprietary information which could limit our ability to protect, or prevent us from protecting, our intellectual property rights. Policing unauthorized use of our proprietary rights is difficult. We cannot make any assurances that the steps we have taken will prevent misappropriation of, or infringement upon, technology or that the agreements entered into for that purpose will be enforceable. Effective patent, trademark, service mark, copyright, and trade secret protection may not be available in every country in which our applications and services are made available. Misappropriation of our intellectual property or potential litigation concerning such matters could have an adverse effect on our business, financial condition or results of operations. As we increase our international business, we are subject to further risks of misappropriation of, or infringement on, our intellectual property in countries which have laws that are less protective of intellectual property or are enforced in a less protective manner.</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If our applications or services are found to infringe the proprietary rights of others, then we may be required to change our business practices and may also become subject to significant costs and monetary penalties.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information technology applications and services develop, we are increasingly subject to infringement claims. Any claims, whether with or without merit, could (i) be expensive and time-consuming to defend; (ii) result in an injunction or other equitable relief which could cause us to cease making, licensing or using applications that incorporate the challenged intellectual property; (iii) require us to redesign our applications, if feasible; (iv) divert management's attention and resources; and (v) require us to enter into royalty or licensing agreements in order to obtain the right to use necessary technologies or pay damages resulting from any infringing use.</w:t>
      </w:r>
    </w:p>
    <w:p>
      <w:pPr>
        <w:pStyle w:val="TextBody"/>
        <w:bidi w:val="0"/>
        <w:spacing w:before="0" w:after="0"/>
        <w:ind w:left="0" w:right="0" w:firstLine="36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Some of our solutions contain "open source" software, and any failure to comply with the terms of one or more of these open source licenses could adversely affect our business. </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 limited amount of software licensed by its authors or other third parties under so-called "open source" licenses, and we may continue to use such software in the future.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if we combine our proprietary software with open source software in a certain manner. Additionally, the terms of many open source licenses have not been interpreted by U.S. or other courts, and there is a risk that these licenses could be construed in a manner that could impose unanticipated conditions or restrictions on our ability to commercialize our solutions. In addition to risks related to license requirements, usage of open source software can lead to greater risks than use of third-party commercial software, as open source licensors generally do not provide warranties or controls on the origin of the software. We have established processes to help alleviate these risks, including a review process for screening requests from our development organizations for the use of open source, but we cannot be sure that all open source is submitted for approval prior to use in our solutions. In addition, many of the risks associated with the use of open source cannot be eliminated, and could, if not properly addressed, adversely affect our business.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Using and/or incorporating AI technologies into our business poses additional risks and uncertainties that have the potential to harm our reputation and could have a material adverse effect on our business, financial condition or results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Incorporating AI technologies into our business offers significant potential to enhance the value of the solutions and services we provide to our clients. If we are unsuccessful in identifying opportunities to expand our portfolio with AI capabilities to strengthen or maintain our market position or enhance our customers' experiences, we may have a competitive disadvantage in developing new products and operating our business. However, AI algorithms may produce unfair, unintended, inaccurate, biased or discriminatory outcomes which could be difficult to detect or explain. Further, the training data underlying third-party AI models may also inadvertently breach intellectual property, privacy or other rights and result in the unauthorized use of confidential information. The integration of AI introduces a variety of risks and uncertainties that may harm our reputation, expose us to lawsuits from consumers or other third parties, introduce security vulnerabilities to our information systems, or have other unintended consequences if we are not successful in mitigating such risks. AI systems may have unintended societal impacts and negative outcomes, such as algorithmic errors that result in inadvertent discrimination or bias. Ensuring that our AI systems are used ethically and in a way that aligns with societal values is critical to maintaining trust with our clients, their customers, and regulators, and will likely be required under laws and regulations governing AI systems. Additionally, AI systems, whether developed internally or integrated from third-party suppliers, may be susceptible to security vulnerabilities. If these systems are targeted or exploited by cyberattacks, we may face financial and operational costs related to recovery and remediation, required public disclosure, as well as potential reputational damage. The increased sophistication of bad actors raises the risk of significant disruptions, which could impact our operations, as well as customer trust.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landscape surrounding AI is evolving quickly, and the jurisdictions in which we operate are increasingly implementing new, complex and sometimes conflicting compliance requirements. For instance, the E.U. AI Act imposes a number of requirements (some of which took effect in August 2025 and will take effect in August 2026 and August 2027) that differ depending on the type and use of a particular AI system, but which will at a minimum include extensive documentation and transparency requirements. Meanwhile, several U.S. states have adopted AI-specific frameworks or are considering applying existing consumer and data protection laws to regulate AI. These regulatory changes introduce additional risks, including the possibility of failing to meet compliance obligations, which could result in substantial fines, penalties or other regulatory 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systems are also dependent on strong model governance, which includes the continuous monitoring, auditing and updating of models to reflect the continuous changes in laws, regulations, or legal precedent, and is paramount to managing these ethical and operational concerns. If we do not maintain an adequate model governance function, we may face regulatory risk, lawsuits, security vulnerabilities or other sources of liability and potentially diminish trust in our brand.</w:t>
      </w:r>
    </w:p>
    <w:p>
      <w:pPr>
        <w:pStyle w:val="TextBody"/>
        <w:bidi w:val="0"/>
        <w:spacing w:before="0" w:after="0"/>
        <w:ind w:left="0" w:right="0" w:firstLine="36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Lack of system integrity, fraudulent payments, credit quality, and undetected errors related to funds settlement or the availability of clearing services could result in a financial loss.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settle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banking payments and check clearing that supports consumers, financial institutions and other businesses. These payment activities rely upon the technology infrastructure that facilitates the verification of activity with counterparties, the facilitation of the payment and the detection or prevention of fraudulent payments. A compromise of our continuity of operations, integrity of processing, or ability to detect or prevent fraudulent payments has resulted, and could in the future result, in a financial loss to us. Furthermore, if one of our clients, for which we facilitate settlement, defaults on settlement or suffers a fraudulent event due to a deficiency in their controls, then we may suffer a financial loss if the client does not have sufficient capital to cover the loss.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international operations, including movements in foreign currency exchange 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international operations represented approximately 23% of our total 2025 revenue and are largely conducted in currencies other than the U.S. Dollar, including the British Pound Sterling, Euro, Swedish Krona, Australian Dollar, Brazilian Real, Swiss Franc, Canadian Dollar and Indian Rupee. Our business, financial condition or results of operations could be adversely affected due to a variety of factors, including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 specific country or region's political and cultural climate or economic condition, including a change in governmental regime;</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unexpected or unfavorable changes in foreign laws, regulatory requirements and related interpretations;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difficulty of effective enforcement of contractual provisions in local jurisdictions;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inadequate intellectual property protection in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trade-protection measures, import or export licensing requirements, such as Export Administration Regulations promulgated by the U.S. Department of Commerce, and fines, penalties or suspension or revocation of export privileges;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sanctions imposed by the U.S. or other governments with jurisdictional authority over our business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applicable and potentially adverse foreign tax law changes;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adverse changes in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lesser enforcement of intellectual property laws and protections internationally;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 accounts receivable cycles;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managing a geographically dispersed workforce;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treaties, tariffs or agreements that could increase our costs or otherwise adversely affect our ability to do business in affected countries;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FCPA and OFAC regulations and other applicable anti-corruption and sanctions laws and regulations, particularly in emerging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clients may pay us in foreign currencies. Conducting business in currencies other than the U.S. Dollar subjects us to foreign currency exchange rate fluctuations that can negatively impact our results, period to period, including relative to analyst estimates or guidance. Our primary exposure to movements in foreign currency exchange rates relates to the British Pound Sterling, Euro, Brazilian Real, Australian Dollar, Swedish Krona, Swiss Franc and Indian Rupee. The U.S. Dollar value of our net investments in foreign operations, the periodic conversion of foreign-denominated earnings to the U.S. Dollar (our reporting currency), and our results of operations and, in some cases, cash flows, could be adversely affected in a material manner by movements in foreign currency exchange rates. These risks could cause an adverse effect on our business, financial condition or results of operations. For more information on our exposure to foreign currency risk, see "Foreign Currency Risk" in "Item 7A. Quantitative and Qualitative Disclosures About Market Risk."</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Failure to comply with anti-bribery and anti-corruption laws could subject us to penalties and other adverse consequences.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FCPA, the U.K. Bribery Act, and other anti-bribery and anti-corruption laws in various countries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for the purpose of obtaining or retaining business abroad or otherwise obtaining favorable treatment. The FCPA also requires that U.S.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companies maintain books and records that fairly and accurately reflect transactions and maintain an adequate system of internal accounting controls.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business in foreign countries, including a number of countries with developing economies, and many of our employees, third-party intermediaries and agents in such countries may have direct or indirect interactions with officials and employees of government agencies, state-owned or affiliated entities and other third parties. We may be held liable if they take actions in violation of these laws, even if we do not explicitly authorize them. Although our policies and procedures require compliance with these anti-bribery and anti-corruption laws and are designed to facilitate such compliance, we do business in many countries and cannot make any assurances that our employees, contractors or agents somewhere in the world will not take actions in violation of applicable laws or our policies, for which we may ultimately be held responsible.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that we believe or have reason to believe that our employees, contractors or agents have or may have violated such laws, we may be required to investigate (or to have outside counsel investigate) the relevant facts and circumstances. Although we maintain multiple reporting channels in which employees, contractors and other individuals can report concerns without retaliation, detecting, investigating and resolving actual or alleged violations can be an extensive process and require a significant diversion of time, resources and attention from senior management. Further, we cannot assure that any such investigation will successfully uncover all relevant facts and circumstances. Any violation of the FCPA, the U.K. Bribery Act or other applicable anti-bribery or anti-corruption laws could result in whistleblower complaints, adverse media coverage, investigations, loss of export privileges, and criminal or civil sanctions, penalties and fines, any of which could adversely affect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have businesses in emerging markets that may experience significant economic volatility.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in emerging markets, primarily in Latin America, India, Southeast Asia, the Middle East and Africa. These emerging market economies tend to be more volatile than the more established markets we serve in North America and Europe, which could add volatility to our future revenue and earnings.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Acts of war or terrorism, international conflicts, political instability, natural disasters, power or communications failures, or widespread outbreak of an illness could negatively affect various aspects of our business, including our workforce and our business partners, make it more difficult and expensive to meet our obligations to our customers, and result in reduced revenue from our customers.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global operations are susceptible to global events, including threats or acts of war, such as the Russia-Ukraine war and conflicts or tensions in the Middle East, threats or acts of terrorism, international conflicts, political instability, natural disasters, and power or communications failures. We are also susceptible to a widespread outbreak of an illness or other health issue or pandemic. These events can spread to different locations across the globe and can have an adverse effect on the global economy, reducing consumer and corporate spending upon which our revenue depends. Individual employees can become ill, quarantined, or otherwise unable to work and/or travel due to health reasons or governmental restrictions. Some of our operations are in countries where the effects of a widespread illness could be magnified due to health care systems that are less well-developed than in the U.S. The occurrence of any of these events could have an adverse effect on our business, financial condition or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The direct and indirect effects of climate change, including increased legal and regulatory requirements and stakeholder expectations, could adversely affect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dynamic, and sometimes conflicting, laws, regulations and other directives that govern a wide array of issues related to sustainability and we may be subject to increased costs, regulations, reporting or other requirements, standards or expectations regarding sustainability and climate change-driven impacts on our business. While we seek to mitigate our business risks associated with climate change, this may require us to incur substantial costs and some of these risks may persist. Changing market dynamics, global and domestic policy developments, heightened focus from governmental, media, community, industry and other stakeholders, and increasing frequency and impact of extreme weather events, such as flooding or windstorms, all have the potential to disrupt our business or the businesses of our customers, vendors and technology partners. Further, there is increased scrutiny, including by governments, regulators, investors, employees, clients and other stakeholders, on sustainability matters, which has resulted in new or additional legal and regulatory requirements and may require increased compliance and operational costs. In addition, if we fail or are perceived to fail to comply with applicable legal requirements and maintain practices that meet our stakeholders' evolving and potentially divergent expectations, it could harm our reputation, adversely affect our ability to attract and retain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expose us to increased scrutiny from investors and regulatory authorities. Any of these developments could adversely affect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Failure to attract and retain talent, including senior management and highly skilled technology personnel, could harm our ability to grow.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upon our ability to attract and retain talent in a competitive market, including senior management personnel and highly-skilled technology personnel. The competitive nature of this market is also affected by wage inflation, which generally increases the cost of talent. Because the development of our solutions and services requires knowledge, skills and abilities to create, develop and implement our software solutions in new areas on a continuing basis, we are competing for talented people with such knowledge, skills and abilities in new and developing technologies. Competition for such technical personnel is intense, as is the competition for senior management to lead these efforts, and our failure to hire and retain talented personnel could have a material adverse effect on our business, financial condition or results of operations.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growth will also require sales and marketing, financial, legal and administrative personnel to develop and support new solutions and services, to enhance and support current solutions and services and to expand operational and financial systems. There can be no assurance that we will be able to attract and retain the necessary personnel to accomplish our growth strategies, and we may experience constraints that could adversely affect our ability to satisfy client demand in a timely fashion.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maintain compliance with applicable laws, rules and regulations and to manage and monitor the risks facing our business relies upon the ability to maintain skilled compliance, legal, security, risk and audit professionals. Competition for such skill sets is intense, and our failure to hire and retain talented personnel could have an adverse effect on our internal control environment and impact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senior management team has significant experience in the financial services industry, and the loss of this leadership could have an adverse effect on our business, operating results and financial condition. Further, the loss of this leadership may have an adverse impact on senior management's ability to provide effective oversight and strategic direction for all key functions within the Company, which could impact our future business, financial condition or results of operations.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continue to implement our business strategy and transform the organization, cost-control initiatives have resulted in a reduced workforce and reduced capacity in some areas of our business. As we seek to implement these changes to improve efficiency, adjustments to reduced staffing levels may affect our ability to conduct our operations and other functions effectively. If we fail to effectively manage these organizational and/or strategic changes, our financial condition, results of operations and reputation, as well as our ability to successfully attract, motivate and retain key employees, could be harmed.</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the subject of various legal proceedings that could have an adverse effect on us.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litigation matters, including from time-to-time class-action cases and patent infringement litigation. If we are unsuccessful in our defense of litigation matters, we may be forced to pay damages and/or change our business practices, any of which could have an adverse effect on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Unfavorable resolution of tax contingencies or unfavorable future tax law changes could adversely affect our tax expense.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tax returns and positions are subject to review and audit by federal, state, local and international taxing authorities. An unfavorable outcome to a tax audit could result in higher tax expense and could negatively impact our effective tax rate, financial position, results of operations and cash flows in the current and/or future periods. On December 15, 2022, the E.U. Member States formally adopted the E.U.’s Pillar Two Directive, which generally provides for a minimum effective tax rate of 15%, as established by the Organization for Economic Co-operation and Development Pillar Two Framework that was supported by over 130 countries worldwide. A significant number of countries are also implementing similar legislation. We are monitoring developments, including in countries that have enacted legislation, and do not currently expect a material adverse impact to the financial statements. We will continue to evaluate Pillar Two legislation and other future tax law changes that could result in negative impacts. In addition, tax-law amendments in the U.S. and other jurisdictions could significantly impact how U.S. multinational corporations are taxed. Although we cannot predict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in what form such legislation will pass, if enacted it could have an adverse effect on our business, financial condition or results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 material weakness in our internal controls could have a material adverse effect on us.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are necessary for us to provide reasonable assurance with respect to our financial reports and to adequately mitigate the risk of fraud. If we cannot provide reasonable assurance with respect to our financial reports and adequately mitigate the risk of fraud, our reputation and results of operations could be harmed.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inherent risk that the control may become inadequate because of changes in conditions or because the degree of compliance with the policies or procedures may deteriorate.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A material weakness in our internal control over financial reporting could adversely impact our ability to provide timely and accurate financial information. If we are unable to report financial information timely and accurately or to maintain effective disclosure controls and procedures, our business, financial condition or results of operations could be adversely affected.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Risks Related to Business Combinations and Ventures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Strategic transactions, including acquisitions and divestitures, involve significant risks and uncertainties that could adversely affect our business,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Strategic acquisitions and divestitures we have made in the past (including the Issuer Solutions Acquisition and the 2026 Worldpay Minority Sale), and may make in the future, present significant risks and uncertainties that could adversely affect our business, financial condition, results of operations and cash flows. These risks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 evaluating potential acquisitions, including the risk that our due diligence does not identify or fully assess valuation issues, potential liabilities, regulatory or legal non-compliance issues, or other acquisition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and expense in integrating newly acquired businesses and operations, including combining solution and service offerings, and in entering into new markets in which we are not experienced, in an efficient and cost-effective manner while maintaining adequate standards, controls and procedures, and the risk that we may encounter significant unanticipated costs or other problems associated with integration;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and expense in consolidating, integrating, and rationalizing IT infrastructure, integrating acquired software, and remediating regulatory or legal non-compliance in acquired entities;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 achieving strategic objectives, cost savings, revenue growth, and other benefits expected from acquisitions on the time frame anticipated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any strategic transaction has an adverse effect on existing business relationships with suppliers and customers, or costs or dis-sysnergies exceed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our markets do not evolve as anticipated and that the strategic acquisitions and divestitures do not prove to be those needed to be successful in those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acquired systems expose us to cybersecurity and other data security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to reach appropriate standards to protect against cybersecurity and other data security risks, or the timelines to achieve such standards, may exceed those estimated in diligence;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acquired companies are subject to new regulatory regimes or oversight where we have limited experience, which may result in additional compliance costs, remediation expenses, and potential regulatory penalties;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we assume or retain, or that companies we have acquired have assumed or retained or otherwise become subject to, significant liabilities that exceed the limitations of any applicable indemnification provisions or the financial resources of any indemnifying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indemnification related to businesses divested or spun-off that we may be required to provide or otherwise bear may be significant and could negatively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of exposure to potential liabilities arising out of applicable state and federal fraudulent conveyance laws and legal distribution requirements from spin-offs in which we or companies we have acquired were involved;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we may be responsible for unanticipated U.S. federal income tax liabilities related to acquisitions or divestitures;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that we are not able to complete strategic divestitures within expected time frames or on satisfactory terms and conditions, including obtaining enforceable non-competition arrangements applicable to certain of our business lines;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loss of key employees or customers of the businesses acquired or to be divested;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 of diverting the attention of senior management from our existing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We have substantial goodwill and other intangible assets recorded as a result of acquisitions, and a severe or extended economic downturn could cause these assets to become impaired, requiring write-downs that would reduce our operating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goodwill aggregated to $17.8 billion, or 53% of total assets, and intangible assets aggregated to $1.0 billion, or 3% of total assets. Current accounting rules require goodwill to be assessed for impairment at least annually or whenever changes in circumstances indicate potential impairment and require intangible assets with finite useful lives to be reviewed for impairment whenever events or changes in circumstances indicate that the carrying amount may not be recoverable. Factors that may be considered a change in circumstance include significant underperformance relative to historical or projected future operating results, a significant decline in our stock price and market capitalization, and negative industry or economic trends. If worldwide or U.S. economic conditions decline significantly with prolonged negative impacts to bank spending and consumer behavior, or if other business or market changes significantly impact our outlook, then the remaining carrying amount of our goodwill and other intangible assets may no longer be recoverable, and we may be required to record an impairment charge, which would have a negative impact on our results of operations. We will continue to monitor the fair value of our reporting units and other intangible assets as well as our market capitalization and the impact of any prolonged economic downturn on our business to determine the likelihood of impairment.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Indebtedness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existing debt levels and future levels under existing facilities and debt service requirements may adversely affect us, including our financial condition or business flexibility, and prevent us from fulfilling our obligations under our outstanding indebtedness.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total debt of approximately $13.1 billion. Our level of debt, or any increase in our debt level, could adversely affect our business, financial condition, operating results and operational flexibility, including as follows: (i) the debt level may cause us to have difficulty borrowing money in the future for working capital, capital expenditures, acquisitions or other purposes; (ii) our debt level may limit operational flexibility and our ability to pursue business opportunities and implement certain business strategies; (iii) some of our debt has a variable rate of interest, which exposes us to the risk of increased interest rates; (iv) we have a higher level of debt than some of our competitors or potential competitors, which may cause a competitive disadvantage and may reduce flexibility in responding to changing business and economic conditions, including increased competition and vulnerability to general adverse economic and industry conditions; (v) there are significant debt maturities or maturities that may need to be refinanced, potentially at higher rates; and (vi) failure to satisfy our obligations under our outstanding debt or failure to comply with the financial or other restrictive covenants contained in the indenture governing our senior notes or in our credit facilities could result in an event of default that could cause all of our debt to become due and payable, and cross-default provisions in our credit agreements could cause a default on one facility to trigger defaults across multiple financing arrangements, potentially accelerating repayment obligations beyond the initially defaulted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9, 2026, FIS incurred debt of approximately $7.7 billion to finance the cash portion of the Issuer Solutions Acquisition. Accordingly, the indebtedness of FIS and its subsidiaries following completion of the Issuer Solutions Acquisition is substantially greater than FIS' indebtedness prior to completion of the acquisition. FIS' substantially increased indebtedness could have the effect, among other things, of reducing FIS' flexibility to respond to changing business and economic conditions. In addition, the amount of cash required to pay interest on FIS' increased indebtedness levels will increase, and thus the demands on FIS' cash resources will be greater than the amount of cash flows required to service the indebtedness of FIS prior to the acquisition. The increased levels of indebtedness following completion of the acquisition could reduce funds available to engage in investments in product development, fund working capital, capital expenditures, acquisitions and other general corporate purposes, and may create competitive disadvantages for FIS relative to other companies with lower debt levels. If FIS does not achieve the expected benefits from the acquisition, then FIS' ability to service its indebtedness, and thereby reduce its leverage levels, may be adversely impacted.</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have exposure to fluctuations in the Euro-USD exchange rates, which could negatively affect our cost to service or refinance our Euro-denominated debt securities.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outstanding approximately €3.4 billion aggregate principal amount of Euro-denominated senior notes and approximately €0.1 billion aggregate principal amount of Euro-denominated commercial paper, or the combined equivalent of approximately $4.1 billion aggregate principal amount. A vast majority of this EUR denominated indebtedness has been economically converted into USD through derivative instruments (see "Financial Instruments" in note 15 to the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generated in foreign currencies are insufficient to settle our foreign currency denominated indebtedness, then we may need to exchange U.S. Dollars or funds in other currencies to make such payments, which could result in increased costs to us in the event of adverse changes in currency exchange rates. We have utilized and expect to continue to utilize foreign currency forward contracts and other hedges in an effort to mitigate currency risk, but we cannot make assurances that such hedging arrangements will be effective or will remain available to us on acceptable terms, or at all. In addition, we cannot predict economic and market conditions (including prevailing interest rates and foreign currency exchange rates) at the applicable times when our various series of Euro-denominated indebtedness are scheduled to mature, nor can we predict the impact of governmental monetary, trade or tax policy changes that could cause disproportionate foreign exchange rate movements. We cannot provide any assurance that we would be able to refinance any series of our Euro-denominated indebtedness on acceptable terms at any such time, all of which could have an adverse financial impact on us.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Rising interest rates could increase our borrowing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for changes in interest rates relates to our short-term commercial paper borrowings and revolving credit facilities. Interest rates have increased significantly from recent historical levels and may remain elevated for an extended period. In response to the current interest rate environment, we may need to rebalance our variable debt instruments, potentially increasing our reliance on certain facilities while reducing others. In the future, we may have additional borrowings under existing or new variable-rate debt. Increases in interest rates on variable-rate debt would increase our interest expense. A sustained higher interest rate environment could increase the cost of refinancing existing debt and incurring new debt, create challenges in accessing certain credit markets, and limit our flexibility in managing our debt portfolio composition, which could have an adverse effect on our financing costs and overall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Credit ratings, if lowered below investment grade, would adversely affect our cost of funds and liquidity.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investment grade credit ratings from the major U.S. rating agencies on its senior unsecured debt (S&amp;P BBB, Moody's Baa2, Fitch BBB), as well as its commercial paper program (S&amp;P A-2, Moody's P-2, Fitch F2). Failure to maintain investment grade rating levels could adversely affect the Company's cost of funds and liquidity and access to certain capital markets but would not have an adverse effect on our ability to access our existing revolving credit facilities. Please note that a security rating is not a recommendation to buy, sell or hold securities, that it may be subject to revision or withdrawal at any time by the assigning rating organization, and that each rating should be evaluated independently of any other rating.</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Statement Regarding Forward-Looking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statements contained in this Form 10-K or in our other documents or in oral presentations or other management statements that are not purely historical are forward-looking statements within the meaning of the U.S. federal securities laws. Statements that are not historical facts, as well as other statements about our expectations, beliefs, intentions, or strategies regarding the future, or other characterizations of future events or circumstances, are forward-looking statements. Forward-looking statements include statements about anticipated financial outcomes, including any earnings outlook or projections, projected revenue or expense synergies or dis-synergies, business and market conditions, outlook, foreign currency exchange rates, deleveraging plans, expected dividends and share repurchases of the Company, the Company's sales pipeline and anticipated profitability and growth, plans, strategies and objectives for future operations, strategic value creation, risk profile and investment strategies, any statements regarding future economic conditions or performance and any statements with respect to the future impacts of the recently completed acquisition of the Issuer Solutions Business, which has been rebranded as FIS Total Issuing</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Solutions. These statements may be identified by words such as "expect," "anticipate," "intend," "plan," "believe," "will," "should," "could," "would," "project," "continue," "likely," and similar expressions, and include statements reflecting future results or outlook, statements of outlook and various accruals and estimates. These statements relate to future events and our future results and involve a number of risks and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beliefs as well as assumptions made by, and information currently available to,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Actual results, performance or achievement could differ materially from these forward-looking statements. The risks and uncertainties to which forward-looking statements are subject include the following, without limitation: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general economic, business and political conditions, a recession, intensified or expanded international hostilities, acts of terrorism, fluctuation in rates of inflation or interest, effects of announced or future tariff increases and any resulting regulatory changes in global trade relations and changes in consumer or business confidence;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either or both the United States and international lending, capital and financial markets or currency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acquired businesses, including FIS Total Issuing</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Solutions, will not be integrated successfully, will not provide the expected benefits, or that the integration will be more costly or more time-consuming and complex than anticipated;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 that cost savings and synergies anticipated to be realized from acquisitions, including the Issuer Solutions Acquisition, may not be fully realized or may take longer to realize than expected or that costs may be greater than anticipated;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risks of doing business internationally;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effect of legislative initiatives or proposals, statutory changes, governmental or applicable regulations and/or changes in industry requirements, including privacy, data protection, cybersecurity, cyber resilience and AI laws and regulations;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climate change legal and regulatory requirements and to maintain practices that meet our stakeholders' evolving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growth rates of the markets for our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declaration and payment of future dividends is at the discretion of our Board of Directors and depends on, among other things, our investment opportunities, results of operations, financial condition, cash requirements, future prospects, and other factors that may be considered relevant by our Board of Directors, including legal and contractual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and timing of any future share repurchases is subject to, among other things, our share price, our other investment opportunities and cash requirements, our results of operations and financial condition, our future prospects and other factors that may be considered relevant by our Board of Directors and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failures to adapt our solutions to changes in technology or in the marketplace;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internal or external security or privacy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 that partners and third parties may fail to satisfy their legal obligations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managing pension cost, cybersecurity issues, IT outages experienced;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navigate the opportunities and risks associated with using and/or incorporating AI technologies into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reaction of current and potential customers to communications from us or regulators regarding information security, risk management, internal audit or other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failure to innovate in order to keep up with new emerging technologies, which could impact our solutions and our ability to attract new, or retain existing,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operational or natural disaster at one of our major operations centers;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comply with applicable requirements of payment networks or changes in those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fraud by bad actors;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risks detailed elsewhere in the "</w:t>
      </w:r>
      <w:r>
        <w:rPr>
          <w:rFonts w:ascii="Times New Roman;serif" w:hAnsi="Times New Roman;serif"/>
          <w:b w:val="false"/>
          <w:i/>
          <w:color w:val="000000"/>
          <w:sz w:val="20"/>
        </w:rPr>
        <w:t>Risk Factors</w:t>
      </w:r>
      <w:r>
        <w:rPr>
          <w:rFonts w:ascii="Times New Roman;serif" w:hAnsi="Times New Roman;serif"/>
          <w:b w:val="false"/>
          <w:color w:val="000000"/>
          <w:sz w:val="20"/>
        </w:rPr>
        <w:t>" section and other sections of this report, and in our other filings with the SEC.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1B.    </w:t>
      </w:r>
      <w:r>
        <w:rPr>
          <w:rFonts w:ascii="Times New Roman;serif" w:hAnsi="Times New Roman;serif"/>
          <w:b/>
          <w:i/>
          <w:color w:val="000000"/>
          <w:sz w:val="20"/>
        </w:rPr>
        <w:t>Unresolved Staff Comments</w:t>
      </w:r>
    </w:p>
    <w:p>
      <w:pPr>
        <w:pStyle w:val="TextBody"/>
        <w:bidi w:val="0"/>
        <w:spacing w:before="0" w:after="0"/>
        <w:ind w:left="0" w:right="0" w:hanging="108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1C.    </w:t>
      </w:r>
      <w:r>
        <w:rPr>
          <w:rFonts w:ascii="Times New Roman;serif" w:hAnsi="Times New Roman;serif"/>
          <w:b/>
          <w:i/>
          <w:color w:val="000000"/>
          <w:sz w:val="20"/>
        </w:rPr>
        <w:t>Cybersecurity</w:t>
      </w:r>
    </w:p>
    <w:p>
      <w:pPr>
        <w:pStyle w:val="TextBody"/>
        <w:bidi w:val="0"/>
        <w:spacing w:before="0" w:after="0"/>
        <w:ind w:left="0" w:right="0" w:hanging="1080"/>
        <w:jc w:val="left"/>
        <w:rPr/>
      </w:pPr>
      <w:r>
        <w:rPr/>
      </w:r>
    </w:p>
    <w:p>
      <w:pPr>
        <w:pStyle w:val="TextBody"/>
        <w:bidi w:val="0"/>
        <w:spacing w:lineRule="auto" w:line="288" w:before="0" w:after="0"/>
        <w:ind w:left="0" w:right="0" w:hanging="900"/>
        <w:jc w:val="left"/>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Cybersecurity is fundamental to FIS' complex, global business. As part of our business, FIS and its vendors, technology partners, and clients electronically receive, process, store and transmit a wide range of confidential information, including sensitive customer information and consumer personal data. Our operations extend to managing payment systems, cash access and prepaid card systems. Cyberattacks on information technology systems and the vendors and technological supply chain they rely on continue to grow in frequency, complexity and sophistication. This is a trend we expect to continue. Cyberattacks have garnered significant attention from individuals, businesses, governmental entities and the media drawing the focus of a large ecosystem of criminal threat actors. The objectives of these cyberattacks include, among other outcomes, gaining unauthorized access to systems to disrupt operations, steal information, seek ransom payments from victims, perpetrate financial fraud, or sell stolen information. Perpetrators of cyberattacks attempt to exploit technical, human, social, and organizational vulnerabilities to gain unauthorized access. There is a growing trend of identifying and exploiting vulnerabilities in widely used technologies or vendor systems, allowing a single compromise or failure to extend unauthorized access to numerous systems. We have also noted increasing trends of targeting payment systems, including credit, debit, and prepaid card systems, for purposes of eliciting unauthorized or fraudulent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takes actions to assess, identify, and manage risks from cybersecurity threats to our information systems and those of our vendors and technology partners. A significant focus of our ongoing efforts is how we identify these vulnerabilities and prevent and respond to cyberattacks. Our processes include the activities of the FIS Cyber Fusion Center, which provides 24x7x365 cybersecurity threat monitoring and response for both incoming threats and outbound data flows. They also include structured defense-in-depth initiatives, such as perimeter security, remote access security, endpoint security, application security, identity management, and data loss prevention. In addition, we engage in extensive information security training of our employees who use and access our information systems. Our process for identification and management of risks from cybersecurity threats includes regular communication with cyber experts, engagement of cybersecurity partners to review our systems, regular audits of our information security by third-party assessors and consultants, and regular interactions with vendors and technology partners to oversee and identify material risks associated with the information systems utilized by such persons.</w:t>
      </w:r>
    </w:p>
    <w:p>
      <w:pPr>
        <w:pStyle w:val="TextBody"/>
        <w:bidi w:val="0"/>
        <w:spacing w:before="0" w:after="0"/>
        <w:ind w:left="0" w:right="0" w:firstLine="360"/>
        <w:jc w:val="left"/>
        <w:rPr/>
      </w:pPr>
      <w:r>
        <w:rPr/>
      </w:r>
    </w:p>
    <w:p>
      <w:pPr>
        <w:pStyle w:val="TextBody"/>
        <w:bidi w:val="0"/>
        <w:spacing w:lineRule="auto" w:line="288" w:before="0" w:after="0"/>
        <w:ind w:left="0" w:right="0" w:hanging="90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process of identifying and remediating cybersecurity risks has been integrated into our overall risk management system and processes. It is overseen by our Chief Information Security Officer and Chief Risk Officer, who report to our Board of Directors and its Risk and Technology Committee on a quarterly basis. The Chief Information Security Officer provides ongoing oversight for the management of cybersecurity risks across the firm leveraging a series of qualitative and quantitative risk assessment routines. Risk escalations are facilitated through the enterprise risk management framework, including the Company's Enterprise Risk Committee and the Board of Directors via the Risk and Technology Committee. Facilitated via regular updates on cybersecurity risk, our Board of Directors takes an active role in overseeing, managing, and setting risk tolerances for our cybersecurity program. Our Chief Information Security Officer has over 15 years of technology and cybersecurity experience, including previous senior leadership roles at major financial institutions and possesses industry certifications such as the Certified Information Systems Security Professional (CISSP). Additional leaders and key contributors composing the cybersecurity leadership team possess specific expertise, certifications, and previous work experience aligned to their assigned responsibilities. Our Enterprise Risk Committee, responsible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providing oversight for cybersecurity risks, is a cross-functional representation of senior leadership with requisite experience and expertise to provide risk oversight, including the Chief Risk Officer, Chief Legal Officer, Chief Technology Officer, Chief Information Officer, Chief Information Security Officer, Chief Audit Officer and other business leaders.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FIS remains focused on making additional strategic investments in information security to protect our clients and our information systems from risks from cybersecurity threats. This includes both capital expenditures and operating expenses on hardware, software, staff and consulting services. These investments in the past have been and are reasonably likely to continue to be material to our results of operations. Further, notwithstanding our investments and other processes and efforts described above and elsewhere in this Annual Report on Form 10-K, we cannot guarantee that FIS will not be the subject of a cyberattack that would have a material effect on its financial condition or results of operations. See "</w:t>
      </w:r>
      <w:r>
        <w:rPr>
          <w:rFonts w:ascii="Times New Roman;serif" w:hAnsi="Times New Roman;serif"/>
          <w:b w:val="false"/>
          <w:i/>
          <w:color w:val="000000"/>
          <w:sz w:val="20"/>
        </w:rPr>
        <w:t>Risk Factors</w:t>
      </w:r>
      <w:r>
        <w:rPr>
          <w:rFonts w:ascii="Times New Roman;serif" w:hAnsi="Times New Roman;serif"/>
          <w:b w:val="false"/>
          <w:color w:val="000000"/>
          <w:sz w:val="20"/>
        </w:rPr>
        <w:t>" in Item 1A.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continued growth in the frequency, complexity and sophistication of cyberattacks presents both a threat and an opportunity for FIS. Using expertise we have gained from our ongoing focus and investment, we have developed and we offer fraud, security, risk management and compliance solutions to target this growth opportunity in the financial services industry. We also use certain of these solutions to manage our own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have not identified any previous cybersecurity incidents that have materially affected or are reasonably likely to materially affect us, including our business strategy, results of operations, or financial condition. For a full discussion of risks from cybersecurity threats, see the section entitled "</w:t>
      </w:r>
      <w:r>
        <w:rPr>
          <w:rFonts w:ascii="Times New Roman;serif" w:hAnsi="Times New Roman;serif"/>
          <w:b w:val="false"/>
          <w:i/>
          <w:color w:val="000000"/>
          <w:sz w:val="20"/>
        </w:rPr>
        <w:t>Risk Factors</w:t>
      </w:r>
      <w:r>
        <w:rPr>
          <w:rFonts w:ascii="Times New Roman;serif" w:hAnsi="Times New Roman;serif"/>
          <w:b w:val="false"/>
          <w:color w:val="000000"/>
          <w:sz w:val="20"/>
        </w:rPr>
        <w:t>" in Item 1A.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TextBody"/>
        <w:bidi w:val="0"/>
        <w:spacing w:lineRule="auto" w:line="288" w:before="0" w:after="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FIS' corporate headquarters is located at 347 Riverside Avenue, Jacksonville, Florida. In addition, FIS owns or leases support centers, data processing facilities and other facilities at approximately 80 locations. We believe our facilities and equipment are generally well maintained and are in good operating condition. We believe that the equipment we own and our various facilities are adequate for our present and foreseeable business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TextBody"/>
        <w:bidi w:val="0"/>
        <w:spacing w:lineRule="auto" w:line="288" w:before="0" w:after="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Legal Proceedings</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pending and threatened litigation matters related to its business and operations, some of which include claims for punitive or exemplary damages. The Company believes no such currently pending or threatened actions are likely to have a material adverse effect on its consolidated financial position. With respect to litigation in which the Company is involved generally, please note the following:</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These matters raise difficult and complicated factual and legal issues and are subject to many uncertainties and complexities.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reviews all of its litigation on an ongoing basis and follows the authoritative guidance for accounting for contingencies when making accrual and disclosure decisions. A liability must be accrued if (a) it is probable that a liability has been incurred and (b) the amount of loss can be reasonably estimated. If one of these criteria has not been met, disclosure is required when there is at least a reasonable possibility that a material loss may be incurred. When assessing reasonably possible and probable outcomes, the Company bases decisions on the assessment of the ultimate outcome following all appeals. Legal fees associated with defending litigation matters are expensed as incurred.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18 to the consolidated financial statements for information about certain legal matters and indemnifications and warranties.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Mine Safety Disclosures</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5.</w:t>
      </w:r>
      <w:r>
        <w:rPr>
          <w:color w:val="000000"/>
        </w:rPr>
        <w:t>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trades on the New York Stock Exchange under the ticker symbol "FIS." As of January 31, 2026, there were approximately 8,541 shareholders of record of our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2026, the Board of Directors approved a quarterly dividend of $0.44 per share beginning with the first quarter of 2026. A regular quarterly dividend of $0.44 per common share is payable on March 24, 2026, to shareholders of record as of the close of business on March 10, 2026. We currently expect to continue to pay quarterly dividends at a target payout ratio consistent with our capital allocation strategy. However, the amount, declaration and payment of future dividends is at the discretion of the Board of Directors and depends on, among other things, our investment opportunities (including potential mergers and acquisitions), results of operations, financial condition, cash requirements, future prospects, and other factors, including legal and contractual restrictions, that may be considered relevant by our Board of Directors. Additionally, the payment of cash dividends may be limited by covenants in certain debt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Item 12 of Part III contains information concerning securities authorized for issuance under our equity compensation plans.</w:t>
      </w:r>
    </w:p>
    <w:p>
      <w:pPr>
        <w:pStyle w:val="TextBody"/>
        <w:bidi w:val="0"/>
        <w:spacing w:before="0" w:after="0"/>
        <w:ind w:left="0" w:right="0" w:firstLine="45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2021, our Board of Directors approved a share repurchase program (the "2021 Repurchase Program") under which it authorized the Company to repurchase up to 100 million shares of our common stock. In August 2024, our Board of Directors approved a separate, incremental share repurchase program (the "2024 Repurchase Program") authorizing the repurchase of up to $3.0 billion in aggregate value of shares of our common stock. The Company exhausted its 2021 Repurchase Program in the first quarter of 2025. Repurchases under the 2024 Repurchase Program are made at management's discretion from time to time on the open market or in privately negotiated transactions and through Rule 10b5-1 plans. The 2024 Repurchase Program does not have an expiration date, and may be suspended for periods, amended or discontinued at any time. The Company repurchased approximately 18 million shares for an aggregate of $1.3 billion in 2025, inclusive of repurchases completed under the 2021 Repurchase Program, under which the Company repurchased approximately 1 million shares for an aggregate of $110 million in 2025. Approximately $1.8 billion remained available for repurchase under the 2024 Repurchase Program as of December 31, 2025. Following the closing of the Issuer Solutions Acquisition, the Company temporarily paused repurchases under this program and will resume at management's discretion, taking into account our target leverage ratio.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shares repurchased by the Company under the 2024 Repurchase Program during the three-month period ended December 31, 2025, and the number of shares remaining authorized for repurchase by the Company. </w:t>
      </w:r>
    </w:p>
    <w:p>
      <w:pPr>
        <w:pStyle w:val="TextBody"/>
        <w:bidi w:val="0"/>
        <w:spacing w:before="0" w:after="0"/>
        <w:ind w:left="0" w:right="0" w:firstLine="360"/>
        <w:jc w:val="left"/>
        <w:rPr/>
      </w:pPr>
      <w:r>
        <w:rPr/>
      </w:r>
    </w:p>
    <w:tbl>
      <w:tblPr>
        <w:tblW w:w="9629"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519"/>
        <w:gridCol w:w="519"/>
        <w:gridCol w:w="521"/>
        <w:gridCol w:w="109"/>
        <w:gridCol w:w="109"/>
        <w:gridCol w:w="109"/>
        <w:gridCol w:w="297"/>
        <w:gridCol w:w="869"/>
        <w:gridCol w:w="153"/>
        <w:gridCol w:w="109"/>
        <w:gridCol w:w="109"/>
        <w:gridCol w:w="109"/>
        <w:gridCol w:w="409"/>
        <w:gridCol w:w="1195"/>
        <w:gridCol w:w="210"/>
        <w:gridCol w:w="109"/>
        <w:gridCol w:w="109"/>
        <w:gridCol w:w="109"/>
        <w:gridCol w:w="509"/>
        <w:gridCol w:w="509"/>
        <w:gridCol w:w="722"/>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shares that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cost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yet be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purchased as part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purchased under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publicly announced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plans or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programs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graph below compares Fidelity National Information Services, Inc.'s cumulative 5-year total shareholder return on common stock with the cumulative total returns of the S&amp;P 500 index and the S&amp;P Supercap Data Processing &amp; Outsourced Services index. The graph tracks the performance of a $100 investment in our common stock and in each index (with the reinvestment of all dividends) from December 31, 2020, to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jc w:val="left"/>
        <w:rPr/>
      </w:pPr>
      <w:r>
        <w:rPr/>
        <w:drawing>
          <wp:inline distT="0" distB="0" distL="0" distR="0">
            <wp:extent cx="6515100" cy="56864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515100" cy="5686425"/>
                    </a:xfrm>
                    <a:prstGeom prst="rect">
                      <a:avLst/>
                    </a:prstGeom>
                  </pic:spPr>
                </pic:pic>
              </a:graphicData>
            </a:graphic>
          </wp:inline>
        </w:drawing>
      </w:r>
      <w:bookmarkStart w:id="0" w:name="i-1"/>
      <w:bookmarkEnd w:id="0"/>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p>
      <w:pPr>
        <w:pStyle w:val="TextBody"/>
        <w:bidi w:val="0"/>
        <w:spacing w:before="0" w:after="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1411"/>
        <w:gridCol w:w="1204"/>
        <w:gridCol w:w="1207"/>
        <w:gridCol w:w="211"/>
        <w:gridCol w:w="736"/>
        <w:gridCol w:w="109"/>
        <w:gridCol w:w="211"/>
        <w:gridCol w:w="736"/>
        <w:gridCol w:w="109"/>
        <w:gridCol w:w="211"/>
        <w:gridCol w:w="736"/>
        <w:gridCol w:w="109"/>
        <w:gridCol w:w="211"/>
        <w:gridCol w:w="736"/>
        <w:gridCol w:w="109"/>
        <w:gridCol w:w="211"/>
        <w:gridCol w:w="736"/>
        <w:gridCol w:w="109"/>
        <w:gridCol w:w="211"/>
        <w:gridCol w:w="736"/>
        <w:gridCol w:w="156"/>
      </w:tblGrid>
      <w:tr>
        <w:trPr/>
        <w:tc>
          <w:tcPr>
            <w:tcW w:w="141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12/20</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12/21</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12/22</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12/23</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12/24</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12/25</w:t>
            </w:r>
          </w:p>
        </w:tc>
      </w:tr>
      <w:tr>
        <w:trPr/>
        <w:tc>
          <w:tcPr>
            <w:tcW w:w="3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Fidelity National Information Services, Inc.</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78.10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49.63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62.42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52.55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S&amp;P 500</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128.71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105.40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133.10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166.40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196.16</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S&amp;P Supercap Data Processing &amp; Outsourced Services</w:t>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96.46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80.48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95.12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101.49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104.70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stock price performance included in this graph is not necessarily indicative of future stock price performance.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Reserved</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7.</w:t>
      </w:r>
      <w:r>
        <w:rPr>
          <w:color w:val="000000"/>
        </w:rPr>
        <w:t>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section discusses management's view of the financial condition and results of operations of FIS and its consolidated subsidiaries as of December 31, 2025 and 2024, and for the years ended December 31, 2025, 2024 and 2023, unless otherwise noted.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should be read in conjunction with our audited consolidated financial statements and related notes included elsewhere in this Annual Report. Management's Discussion and Analysis of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contains forward-looking statements. See "Statement Regarding Forward-Looking Information" and "</w:t>
      </w:r>
      <w:r>
        <w:rPr>
          <w:rFonts w:ascii="Times New Roman;serif" w:hAnsi="Times New Roman;serif"/>
          <w:b w:val="false"/>
          <w:i/>
          <w:color w:val="000000"/>
          <w:sz w:val="20"/>
        </w:rPr>
        <w:t>Risk Factors</w:t>
      </w:r>
      <w:r>
        <w:rPr>
          <w:rFonts w:ascii="Times New Roman;serif" w:hAnsi="Times New Roman;serif"/>
          <w:b w:val="false"/>
          <w:color w:val="000000"/>
          <w:sz w:val="20"/>
        </w:rPr>
        <w:t>" in Item 1A of this Annual Report for a discussion of the uncertainties, risks and assumptions associated with these forward-looking statements that could cause future results to differ materially from those reflected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Trends and Conditions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Sources and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from continuing operations is primarily derived from a combination of technology and processing solutions, transaction processing fees, professional services and software license fees. While we are a global company and do business around the world, the majority of our revenue is generated by clients in the U.S. The majority of our international revenue is generated by clients in the United Kingdom, Germany, Canada, Australia, Switzerland, France, South Africa, the Netherlands and India. In addition, the majority of our revenue has historically been recurring under multi-year Banking and Capital Markets contracts that contribute relative stability to our revenue stream. These solutions, in general, are considered critical to our clients' operations. Professional services revenue is typically non-recurring, though recognition often occurs over time rather than at a point in time. Sales of software licenses are typically non-recurring with point-in-time recognition and are less predictable.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Economic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experience relatively stable sales cycles and levels of client activity across our businesses. While inflation remains elevated on a multi</w:t>
        <w:noBreakHyphen/>
        <w:t>year basis, recent inflation levels in our primary markets have moderated compared to the peak levels observed over the past several years. However, we have experienced, and continue to experience, significant cost increases from vendors, and market conditions limit our ability to fully offset these increases through pricing actions. Relatively high interest rates have had, and may continue to have, a negative impact on our interest expense. During 2024, we used a portion of the net proceeds from the 2024 Worldpay Sale to repay our borrowings under our commercial paper programs and reduce our long-term debt, which decreased our interest expense from previous levels. However, we incurred approximately $7.7 billion of new debt upon closing of the Issuer Solutions Acquisition, as further discussed in Note 1 to the consolidated financial statements, which will increase our interest expense in 2026. Given the volatility of exchange rates and the mix of currencies involved in both revenues and expenses, the direction and magnitude of future effects of currency fluctuations are uncertain. We continue to monitor the potential impacts of recently enacted and potential future tariff regimes in the U.S. and internationally. As of December 31, 2025, tariffs have not had a significant impact on our financial condition or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2024 Worldpay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completed the 2024 Worldpay Sale on January 31, 2024, for cash consideration in a transaction valuing the Worldpay Merchant Solutions business at an enterprise value of $18.5 billion, including $1.0 billion of consideration contingent on the returns realized by Buyer exceeding certain thresholds. FIS will no longer receive the contingent consideration as a result of the completion of the 2026 Worldpay Minority Interest Sale, as discussed below. The net cash proceeds received by FIS at the closing were greater than $12 billion, net of estimated closing adjustments, debt restructuring fees, taxes and transaction costs. We used the proceeds from the 2024 Worldpay Sale in 2024 primarily to retire debt and repurchase shares, as well as for general corporate purposes. In connection with the 2024 Worldpay Sale, FIS and Worldpay entered into commercial agreements, preserving a key value proposition for clients of both businesses and minimizing potential dis-synergies. FIS and Worldpay also entered into additional agreements as described in Note 4 to the consolidated financial statements. Upon closing of the 2026 Worldpay Minority Interest Sale, the commercial and other agreements were amended and extended as also discussed in Note 4 to the consolidated financial statements. Following the 2024 Worldpay Sale, we accounted for our non-controlling 45% equity interest in Worldpay using the equity method of accounting, and our share of the net income of Worldpay was reported as Equity method investment earnings (loss), net of tax, in our consolidated statements of earnings (loss).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As a result of the 2024 Worldpay Sale, we recorded a cumulative loss on sale of $578 million during 2024. During 2024, we</w:t>
      </w:r>
      <w:r>
        <w:rPr>
          <w:color w:val="212121"/>
        </w:rPr>
        <w:t xml:space="preserve"> </w:t>
      </w:r>
      <w:r>
        <w:rPr>
          <w:rFonts w:ascii="Times New Roman;serif" w:hAnsi="Times New Roman;serif"/>
          <w:b w:val="false"/>
          <w:color w:val="212121"/>
          <w:sz w:val="20"/>
        </w:rPr>
        <w:t>also recorded a cumulative tax benefit of $1.1 billion</w:t>
      </w:r>
      <w:r>
        <w:rPr>
          <w:rFonts w:ascii="Times New Roman;serif" w:hAnsi="Times New Roman;serif"/>
          <w:b w:val="false"/>
          <w:color w:val="000000"/>
          <w:sz w:val="20"/>
        </w:rPr>
        <w:t>,</w:t>
      </w:r>
      <w:r>
        <w:rPr>
          <w:color w:val="212121"/>
        </w:rPr>
        <w:t xml:space="preserve"> </w:t>
      </w:r>
      <w:r>
        <w:rPr>
          <w:rFonts w:ascii="Times New Roman;serif" w:hAnsi="Times New Roman;serif"/>
          <w:b w:val="false"/>
          <w:color w:val="212121"/>
          <w:sz w:val="20"/>
        </w:rPr>
        <w:t xml:space="preserve">primarily from the release of U.S. deferred tax liabilities that were not transferred in the 2024 Worldpay Sale, net of the then-estimated U.S. tax cost of the 2024 Worldpay Sale. </w:t>
      </w:r>
      <w:r>
        <w:rPr>
          <w:rFonts w:ascii="Times New Roman;serif" w:hAnsi="Times New Roman;serif"/>
          <w:b w:val="false"/>
          <w:color w:val="000000"/>
          <w:sz w:val="20"/>
        </w:rPr>
        <w:t>See "2026 Worldpay Minority Interest Sale" below for a discussion of subsequent changes to our U.S. deferred tax liabilities arising from our agreement to sell our remaining interest in Worldpay.</w:t>
      </w:r>
    </w:p>
    <w:p>
      <w:pPr>
        <w:pStyle w:val="TextBody"/>
        <w:bidi w:val="0"/>
        <w:spacing w:before="0" w:after="0"/>
        <w:ind w:left="0" w:right="0" w:firstLine="36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pPr>
      <w:r>
        <w:rPr>
          <w:rFonts w:ascii="Times New Roman;serif" w:hAnsi="Times New Roman;serif"/>
          <w:b/>
          <w:i/>
          <w:color w:val="000000"/>
          <w:sz w:val="20"/>
          <w:u w:val="single"/>
        </w:rPr>
        <w:t>2</w:t>
      </w:r>
      <w:r>
        <w:rPr>
          <w:rFonts w:ascii="Times New Roman;serif" w:hAnsi="Times New Roman;serif"/>
          <w:b/>
          <w:i/>
          <w:color w:val="000000"/>
          <w:sz w:val="20"/>
        </w:rPr>
        <w:t>026 Worldpay Minority Interest Sale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2026 Worldpay Minority Interest Sale, we expect to recognize an estimated pre-tax gain of $2.2 billion in the first quarter of 2026, representing the excess of the net selling price over the estimated carrying value of the Worldpay equity method investment as of the date of closing, adjusted for the impact of our share of Worldpay's cumulative translation adjustments recorded in accumulated other comprehensive earnings (loss). The estimated gain remains subject to change based on customary post-closing purchase price adjustments and final determination of these amounts, and the final gain could differ materially from the current estimate.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Investments in Innovation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assist financial institutions and other businesses in migrating to outsourced integrated technology solutions to improve their profitability and address increasing and ongoing regulatory requirements. We believe our integrated solutions and outsourced services are well-positioned to address this outsourcing trend across the markets we serve.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invest in modernization, innovation and integrated solutions to meet the demands of the markets we serve and to compete with global banks, financial and other technology providers, and emerging technology innovators. We invest both internally and through investment opportunities in companies building complementary technologies in the financial services space. Our internal development activities have related primarily to the modernization of our proprietary core systems in each of our segments, design and development of next-generation digital and innovative solutions and development of processing systems and related software applications and risk management platforms. We expect to continue to invest an appropriate level of resources to maintain, enhance and extend the functionality of our proprietary systems and existing software applications, to develop new and innovative software applications and systems to address emerging technology trends in response to the needs of our clients, and to enhance the capabilities of our outsourcing infrastructure.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Digital One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Consumer preference, particularly in younger generations, continues to shift to digital-first banking solutions. It is increasingly clear that a priority for our clients is to provide a unified, engaging and inclusive banking experience powered by digital capabilities across all channels and customer activities. Our Digital One platform helps our clients, from top-tier large financial institutions with over $10 billion in assets to top-tier and mid-tier community banks, provide a set of modern digital solutions to support all customer types, including retail consumers, sole proprietors, small businesses and large corporations, through any channel, including desktop, tablet, smartphone, and branch. The uniform customer experience extends to support a broad range of financial services including opening new accounts, servicing existing accounts, money movement, and personal financial management, as well as other consumer, small business and commercial banking capabilities. The Digital One platform is host-agnostic, and our digital suite has been enabled across multiple FIS core banking platforms, including IBS, Horizon, Modern Banking Platform, AffinityEdge, and Systematics, in addition to non-FIS platforms run by banking financial institutions who demand market-leading digital capabilities.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Banking Industry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continued consolidation within the banking industry, primarily in the form of merger and acquisition activity among financial institutions, which generally increases competition among financial technology providers. However, consolidation resulting from specific merger and acquisition transactions may be beneficial to our business. When consolidations of financial institutions occur, merger partners often operate systems obtained from competing service providers. The newly formed entity generally makes a determination to migrate its core and payments systems to a single platform. When a financial institution processing client is involved in a consolidation, we may benefit if the client retains our solutions and expands the use of them following the consolidation to support the newly combined entity. Conversely, we may lose revenue if our solutions are not chosen to support the newly combined entity. It is also possible that larger financial institutions resulting from consolidation may have greater leverage in negotiating terms or could decide to perform in-house some or all of the solutions that we currently provide or could provide. We seek to mitigate the risks of consolidations by offering other competitive solutions to take advantage of specific opportunities at the surviving company.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Demand in the Payments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see demand in the payments market for innovative solutions that will deliver faster, more convenient payment options in mobile channels, internet applications, in-store cards, and digital currencies. The payment processing industry is adopting new technologies, developing new solutions, evolving new business models, and is being affected by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entrants and by an evolving regulatory environment. As financial institutions respond to these changes by seeking solutions to help them enhance their own offerings to consumers, including the ability to accept card-not-present payments in eCommerce and mobile environments, as well as contactless cards and mobile wallets at the point of sale, FIS believes that payment processors will seek to develop additional capabilities in order to serve clients' evolving needs. To facilitate this expansion, we believe that payment processors will need to enhance their technology platforms so they can deliver these capabilities and differentiate their offerings from other providers.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these market changes present both an opportunity and a risk for us, and we cannot predict which emerging technologies or solutions will be successful. However, FIS believes that payment processors, like FIS, that have scalable, integrated business models, provide solutions across the payment processing value chain and utilize broad distribution capabilities will be best-positioned to enable emerging alternative electronic payment technologies in the long term. Further, FIS believes that its depth of capabilities and breadth of distribution will enhance its position as emerging payment technologies are adopted by merchants and other businesses. FIS' ability to partner with non-financial institution enterprises, such as mobile payment providers and internet, retail and social media companies, continues to create attractive growth opportunities as these new entrants seek to become more active participants in the development of alternative electronic payment technologies and to facilitate the convergence of retail, online, mobile and social commerce applications.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Cybersecurity Threats and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Cyberattacks on information technology systems and the vendors and technological supply chain on which they rely continue to grow in frequency, complexity and sophistication, including the increasing use of AI by threat actors and the potential targeting of entities like FIS for the purposes of disruption of services or financial gain. Technical solutions that serve many customers are increasing targets of these kinds of attacks, including direct attacks on our supply chain partners, or our clients. This is a trend we expect to continue with widespread impacts. The continued growth in the frequency, complexity and sophistication of cyberattacks, coupled with the continued interconnection in the global technology ecosystem, present both a threat and an opportunity for FIS. Using expertise we have gained from our ongoing focus and investment, we have developed and we offer fraud, security, risk management and compliance solutions to target this growth opportunity in the financial services industry. We also use certain of these solutions to manage our own risks. See Item 1C for additional discussion of how the Company assesses, identifies, and manages cybersecurity risks.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described below are those we consider critical in preparing our consolidated financial statements. These policies require management to make estimates, judgments and assumptions that affect the reported amounts of assets and liabilities and disclosures with respect to contingent assets and liabilities at the date of the consolidated financial statements and the reported amounts of revenue and expenses during the reporting periods. Actual amounts could differ from those estimates. See Note 2 to the consolidated financial statements for a more detailed description of the significant accounting policies that have been followed in preparing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 of GAAP related to the measurement and recognition of revenue requires us to make judgments and estimates. Specifically, complex arrangements with nonstandard terms and conditions may require significant contract interpretation in the determination of distinct performance obligations. Other judgments may include the evaluation of the standalone selling price for each performance obligation and whether separate contracts with the same customer should be combined and considered part of one arrangement.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determination as to whether individual promised solutions or services can be considered distinct or should instead be combined with other promised solutions or services in a contract may require judgment. We assess the solutions and services promised in our contracts with customers and identify a performance obligation for each promise to transfer to the customer a solution or service (or bundle of solutions or services) that is distinct - i.e., if a solution or service is separately identifiable from other items in the bundled package and if a customer can benefit from it on its own or with other resources that are readily available to the customer.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large number, broad nature and average size of our individual customer contracts, the impact of judgments and assumptions that we apply in recognizing revenue for any single contract is not likely to have a material effect on our consolidated operations or financial position. However, the accounting policies that we apply across similar contracts,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classes of clients could significantly influence the timing and amount of revenue recognized in our historical and future results of operations or financial position.</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Purchase Accounting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of acquired businesses to the assets acquired and liabilities assumed in business combination transactions at their estimated fair values, except as otherwise required. Any portion of the purchase price in excess of the recorded amount of the net identifiable assets acquired is recognized as goodwill. The estimates used to determine the fair value of long-lived assets, such as customer relationships and software intangible assets, are complex and require a significant amount of management judgment. When necessary, we engage third-party valuation specialists to assist us in making these fair value determinations. We generally use discounted cash flow models, which require internally developed assumptions, to determine the acquisition fair value of customer relationship intangible assets and developed technology software assets. Assumptions for customer relationship asset valuations typically include forecasted revenue attributable to existing customer contracts and relationships, estimated annual attrition, forecasted margin, and estimated weighted average cost of capital and discount rates. Assumptions for software asset valuations typically include forecasted revenue attributable to the software assets, obsolescence rates, estimated royalty rates and estimated weighted average cost of capital and discount rates. The forecasted revenue and margins used in the discounted cash flow models are critical estimates in determining the fair value of customer relationships and developed technology software assets as these estimates are influenced by many factors including historical financial information and management’s expectation for future operating results as a combined company.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use our best estimates and assumptions to determine the fair values of the assets acquired and the liabilities assumed, our estimates are inherently uncertain and subject to refinement. As a result, during the measurement period, which may be up to one year from the acquisition date, we record adjustments to the assets acquired and liabilities assumed. Upon the conclusion of the measurement period, any subsequent adjustments are recorded to our consolidated statements of earnings.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closed on two and three acquisitions, respectively, that were accounted for as business combinations, as discussed in Note 5 to the consolidated financial statements. We had no material business combinations, individually or in the aggregate, during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assesses goodwill for impairment by reporting unit on an annual basis during the fourth quarter or more frequently if circumstances indicate potential impairment. Our reporting units are the same as our primary operating segments, with additional reporting units, as applicable, for certain non-strategic businesses within the Corporate and Other segment. Goodwill impairment assessments require a significant amount of management judgment, and a meaningful change in one or more of the underlying forecasts, estimates, or assumptions used in testing goodwill for impairment could result in a material impact on the Company's financial position or results of operations. Based on the results of our assessments, goodwill of the reporting units in our continuing operations was not impaired in any of the periods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annual impairment test may first consider qualitative factors to determine whether it is more likely than not that a reporting unit's carrying amount exceeds its fair value. Qualitative factors include macroeconomic conditions, industry and market conditions, cost factors, overall financial performance and events affecting the reporting unit or Company as a whole, including a sustained decrease in stock price. As a result of the qualitative assessment, if we conclude that it is more likely than not that the reporting unit's fair value is less than its carrying amount as a result of the qualitative assessment, or we elect to bypass the qualitative assessment for a reporting unit, then we must perform a quantitative assessment for that reporting unit.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 quantitative assessment is triggered or elected, we typically engage third-party valuation specialists to assist us in determining the fair value of the reporting unit based on the weighted average of two valuation techniques: an income approach (also known as the discounted cash flow method) and a market approach. The income approach calculates a value based upon the present value of estimated future cash flows, while the market approach uses earnings multiples of similarly situated guideline public companies. The income approach involves the use of significant estimates and assumptions regarding forecasted revenue, growth rates, operating margins, capital expenditures, and other factors used to calculate estimated future cash flows. In addition, risk-adjusted discount rates and future economic and market conditions and other assumptions are applied. The market approach involves the selection of guideline public companies and earnings multiples considering factors such as markets of operation, solutions offered, and risk profiles. The income approach used to assess goodwill for impairment is a critical estimate because the forecasted revenue growth rate and margin assumptions (including long-term growth assumptions) underlying the estimated future cash flows are subject to management’s judgment based upon the best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information, internal forecasts and operating plans. A deterioration in these assumptions could adversely impact our results. The income approach is also particularly sensitive to the risk-adjusted discount rate selected.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our Banking and Capital Markets reporting units, we performed a qualitative annual assessment for 2023, 2024 and 2025 and concluded that it remained more likely than not that the fair values of these reporting units continued to exceed their respective carrying amounts. Given the substantial excess of fair value over carrying amounts, we believe the likelihood of obtaining materially different results based on a change of assumptions to be low.</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inherent uncertainty in quantifying our income tax positions. Management judgment is required to determine our provision for income taxes and income tax assets and liabilities. Management assesses our tax positions based on the application of accounting principles to our facts and circumstances and our interpretation of the tax laws, treaties and regulations, which are complex, vary by jurisdiction and may be subject to different interpretation by relevant taxing authorities.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various tax filing positions, including the allocation of income among various jurisdictions and the applicability of deductions and credits, which affect the timing and amount of our taxable income. We record a valuation allowance if it is more likely than not that some portion or all of a deferred tax asset will not be realized. We also evaluate and measure uncertain tax positions taken or expected to be taken on tax returns and record liabilities for such positions that in our judgment may not be sustained, or only partially sustained, upon examination by taxing authorities. Our assessment may change based on various factors, including changes in facts or circumstances, changes in tax law and audit activity.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believe that our estimates and judgments are reasonable, actual results may differ from these estimates. If one or more of the taxing authorities were to successfully challenge a position taken, it could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party to related-party agreements with Worldpay as discussed in Note 4 to the consolidated financial statements. In connection with the closing of the 2024 Worldpay Sale, we entered into several agreements with certain Worldpay entities and entered into additional agreements with Worldpay during 2024, as further described in Note 4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910"/>
        <w:gridCol w:w="718"/>
        <w:gridCol w:w="668"/>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196"/>
        <w:gridCol w:w="421"/>
        <w:gridCol w:w="109"/>
        <w:gridCol w:w="109"/>
        <w:gridCol w:w="109"/>
        <w:gridCol w:w="109"/>
        <w:gridCol w:w="196"/>
        <w:gridCol w:w="421"/>
        <w:gridCol w:w="109"/>
        <w:gridCol w:w="109"/>
        <w:gridCol w:w="109"/>
        <w:gridCol w:w="109"/>
        <w:gridCol w:w="202"/>
        <w:gridCol w:w="169"/>
        <w:gridCol w:w="291"/>
        <w:gridCol w:w="109"/>
        <w:gridCol w:w="109"/>
        <w:gridCol w:w="109"/>
        <w:gridCol w:w="179"/>
        <w:gridCol w:w="152"/>
        <w:gridCol w:w="343"/>
      </w:tblGrid>
      <w:tr>
        <w:trPr/>
        <w:tc>
          <w:tcPr>
            <w:tcW w:w="91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margin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 net -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margin</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27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the year ended December 31, 2025, increased primarily due to recurring revenue growth in both the Banking and Capital Markets segments. Recurring revenue growth was driven by broad-based growth across the Banking portfolio, led by our core and digital and payments businesses, and by the implementation of new Capital Markets sales. Revenue growth for the year ended December 31, 2025, was partially offset by a decrease in our Corporate and Other segment primarily due to the divestiture of a non-strategic business during the first quarter of 2025. Revenue was not materially impacted by foreign currency movements versus the prior year period.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year ended December 31, 2024, increased primarily due to new sales to both new and existing customers and increased transaction processing volumes, partially offset by declines associated with our non-strategic businesses. Revenue was not materially impacted by foreign currency movements versus the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See "Segment Results of Operations" below for more detailed explanation.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Cost of Revenue, Gross Profit and Gross Profit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for the year ended December 31, 2025, increased primarily due to increased direct cost of revenue associated with higher transaction volumes and higher amortization of internally developed software. Gross profit for the year ended December 31, 2025, increased primarily driven by the profit associated with the revenue increases noted above. Gross profit margin for the year ended December 31, 2025, decreased as the cost of revenue increased faster than the pace of revenue due to higher amortization of internally developed 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for the year ended December 31, 2024, increased primarily due to increased infrastructure and labor expenses, which include costs to support the Worldpay transition services agreement ("TSA"). Gross profit margin for the year ended December 31, 2024, increased primarily due to operating leverage, continued cost management and increased higher-margin license revenue, partially offset by dis-synergies associated with the 2024 Worldpay Sale.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year ended December 31, 2025, increased primarily due to higher net personnel costs, including an increase in one-time severance costs incurred as part of our enterprise-wide cost savings initiatives, as well as an increase in the amortization of deferred commissions.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year ended December 31, 2024, increased primarily due to higher expenses relating to the separation of the Worldpay Merchant Solutions business, offset in part by lower labor costs.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Asset Impairments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material asset impairments during the year ended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Asset impairments for the year ended December 31, 2024, related primarily to an estimated loss recorded on the expected sale of a non-strategic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Asset impairments for the year ended December 31, 2023, related primarily to the termination of certain internally developed software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Income and Operating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annual change in operating income and operating margin for the years ended December 31, 2025 and 2024, resulted from the revenue and cost variances noted above.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Other Operating (Income) Expense, Net - Related Party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4 to the consolidated financial statements, under the terms of the Worldpay TSA, during 2025 and 2024, the Company provided technology infrastructure, risk and security, accounting and various other corporate services to Worldpay. The income received for these services is recorded in Other operating (income) expense, net - related party, and the corresponding expenses are recognized in Cost of revenue and Selling, general and administrative expense in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statement of earnings (loss). Net TSA income decreased from 2024 to 2025 primarily as a result of winding down certain of the TSA services.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Total Other Income (Expense), Net</w:t>
      </w:r>
    </w:p>
    <w:tbl>
      <w:tblPr>
        <w:tblW w:w="10205" w:type="dxa"/>
        <w:jc w:val="left"/>
        <w:tblInd w:w="0" w:type="dxa"/>
        <w:tblLayout w:type="fixed"/>
        <w:tblCellMar>
          <w:top w:w="28" w:type="dxa"/>
          <w:left w:w="28" w:type="dxa"/>
          <w:bottom w:w="28" w:type="dxa"/>
          <w:right w:w="28" w:type="dxa"/>
        </w:tblCellMar>
      </w:tblPr>
      <w:tblGrid>
        <w:gridCol w:w="879"/>
        <w:gridCol w:w="763"/>
        <w:gridCol w:w="766"/>
        <w:gridCol w:w="211"/>
        <w:gridCol w:w="527"/>
        <w:gridCol w:w="109"/>
        <w:gridCol w:w="109"/>
        <w:gridCol w:w="109"/>
        <w:gridCol w:w="109"/>
        <w:gridCol w:w="211"/>
        <w:gridCol w:w="527"/>
        <w:gridCol w:w="109"/>
        <w:gridCol w:w="109"/>
        <w:gridCol w:w="109"/>
        <w:gridCol w:w="109"/>
        <w:gridCol w:w="211"/>
        <w:gridCol w:w="527"/>
        <w:gridCol w:w="109"/>
        <w:gridCol w:w="109"/>
        <w:gridCol w:w="109"/>
        <w:gridCol w:w="109"/>
        <w:gridCol w:w="211"/>
        <w:gridCol w:w="527"/>
        <w:gridCol w:w="109"/>
        <w:gridCol w:w="109"/>
        <w:gridCol w:w="109"/>
        <w:gridCol w:w="109"/>
        <w:gridCol w:w="211"/>
        <w:gridCol w:w="466"/>
        <w:gridCol w:w="109"/>
        <w:gridCol w:w="109"/>
        <w:gridCol w:w="109"/>
        <w:gridCol w:w="109"/>
        <w:gridCol w:w="261"/>
        <w:gridCol w:w="261"/>
        <w:gridCol w:w="379"/>
        <w:gridCol w:w="109"/>
        <w:gridCol w:w="109"/>
        <w:gridCol w:w="109"/>
        <w:gridCol w:w="180"/>
        <w:gridCol w:w="181"/>
        <w:gridCol w:w="399"/>
      </w:tblGrid>
      <w:tr>
        <w:trPr/>
        <w:tc>
          <w:tcPr>
            <w:tcW w:w="87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54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net during the year ended December 31, 2025, was primarily due to a decrease in interest income, which was higher during the year ended December 31, 2024, as a result of unused proceeds from the 2024 Worldpay Sale. Interest expense (net) for the year ended December 31, 2024, also included bridge facility fees incurred to secure funding for the Issuer Solutions Acquisition, as discussed in Note 1 to the consolidated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interest expense, net during the year ended December 31, 2024, was primarily due to a reduction in our outstanding borrowings under our commercial paper programs and senior notes using a portion of the net proceeds from the 2024 Worldpay Sale and increased interest income generated on the proceeds of the 2024 Worldpay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for the periods presented consists of various income and expense items outside of the Company's operating activities, including foreign currency transaction remeasurement gains and losses; realized and unrealized gains and losses on equity security investments, including impairment losses on these investments; and fair value adjustments on certain non-operating assets and liabilities, including certain derivatives as further described in Note 15 to the consolidated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for the year ended December 31, 2025, primarily included the impact of a $(108) million write-off of the contingent consideration included as part of the 2024 Worldpay Sale, which write-off was triggered by the 2026 Worldpay Minority Interest Sale agreement, and a change in fair value of interest rate swaps accounted for as economic hedges, each as discussed in Note 15 to the consolidated financial statements, as well as foreign currency transaction remeasurement losses.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for the year ended December 31, 2024, included loss on extinguishment of debt of approximately $(174) million, as discussed in Note 14 to the consolidated financial statements.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for the year ended December 31, 2023, primarily included losses from foreign currency transaction remeasurements and the impact of the change in fair value of interest rate swaps accounted for as economic hedges. See Note 15 to the consolidated financial statements for further discussion of the interest rate swaps.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tbl>
      <w:tblPr>
        <w:tblW w:w="10205" w:type="dxa"/>
        <w:jc w:val="left"/>
        <w:tblInd w:w="0" w:type="dxa"/>
        <w:tblLayout w:type="fixed"/>
        <w:tblCellMar>
          <w:top w:w="28" w:type="dxa"/>
          <w:left w:w="28" w:type="dxa"/>
          <w:bottom w:w="28" w:type="dxa"/>
          <w:right w:w="28" w:type="dxa"/>
        </w:tblCellMar>
      </w:tblPr>
      <w:tblGrid>
        <w:gridCol w:w="935"/>
        <w:gridCol w:w="823"/>
        <w:gridCol w:w="826"/>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423"/>
        <w:gridCol w:w="109"/>
        <w:gridCol w:w="109"/>
        <w:gridCol w:w="109"/>
        <w:gridCol w:w="109"/>
        <w:gridCol w:w="211"/>
        <w:gridCol w:w="466"/>
        <w:gridCol w:w="109"/>
        <w:gridCol w:w="109"/>
        <w:gridCol w:w="109"/>
        <w:gridCol w:w="109"/>
        <w:gridCol w:w="205"/>
        <w:gridCol w:w="205"/>
        <w:gridCol w:w="207"/>
        <w:gridCol w:w="109"/>
        <w:gridCol w:w="109"/>
        <w:gridCol w:w="109"/>
        <w:gridCol w:w="193"/>
        <w:gridCol w:w="193"/>
        <w:gridCol w:w="283"/>
      </w:tblGrid>
      <w:tr>
        <w:trPr/>
        <w:tc>
          <w:tcPr>
            <w:tcW w:w="9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the effective tax rate for the year ended December 31, 2025, was predominately driven by comparatively lower income tax relating to foreign earnings in 2025, together with a decrease in 2025 income tax expense due to increased tax credits.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effective tax rate for the year ended December 31, 2024, was predominately driven by increases to income tax relating to foreign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described in Note 4 to the consolidated financial statements, the Company reflects its investor-level tax impact relating to equity method investments as a component of Equity method investment earnings (loss), net of tax in the consolidated statement of earnings (loss). Therefore, equity method investment earnings (loss) and the related investor-level tax are excluded from the calculation of FIS' annual effective tax rate.</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Equity Method Investment Earnings (Loss)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76"/>
        <w:gridCol w:w="945"/>
        <w:gridCol w:w="948"/>
        <w:gridCol w:w="211"/>
        <w:gridCol w:w="516"/>
        <w:gridCol w:w="109"/>
        <w:gridCol w:w="109"/>
        <w:gridCol w:w="109"/>
        <w:gridCol w:w="109"/>
        <w:gridCol w:w="211"/>
        <w:gridCol w:w="516"/>
        <w:gridCol w:w="109"/>
        <w:gridCol w:w="109"/>
        <w:gridCol w:w="109"/>
        <w:gridCol w:w="109"/>
        <w:gridCol w:w="211"/>
        <w:gridCol w:w="406"/>
        <w:gridCol w:w="109"/>
        <w:gridCol w:w="109"/>
        <w:gridCol w:w="109"/>
        <w:gridCol w:w="109"/>
        <w:gridCol w:w="211"/>
        <w:gridCol w:w="516"/>
        <w:gridCol w:w="109"/>
        <w:gridCol w:w="109"/>
        <w:gridCol w:w="109"/>
        <w:gridCol w:w="109"/>
        <w:gridCol w:w="211"/>
        <w:gridCol w:w="516"/>
        <w:gridCol w:w="109"/>
        <w:gridCol w:w="109"/>
        <w:gridCol w:w="109"/>
        <w:gridCol w:w="109"/>
        <w:gridCol w:w="192"/>
        <w:gridCol w:w="192"/>
        <w:gridCol w:w="194"/>
        <w:gridCol w:w="109"/>
        <w:gridCol w:w="109"/>
        <w:gridCol w:w="109"/>
        <w:gridCol w:w="181"/>
        <w:gridCol w:w="181"/>
        <w:gridCol w:w="26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completed the 2024 Worldpay Sale on January 31, 2024, retaining a non-controlling equity interest in Worldpay. Until the closing of the 2026 Worldpay Minority Interest Sale, we accounted for our 45% equity interest in Worldpay using the equity method of accounting. During the period from February 1, 2024, through December 31, 2025, our share of the net income of Worldpay is reported as Equity method investment earnings (loss), net of tax, in the consolidated statement of earnings (loss) and reflects FIS' investor-level tax impact on its investment in Worldpay. See Note 4 to the consolidated financial statements for summary Worldpay financial information.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971"/>
        <w:gridCol w:w="856"/>
        <w:gridCol w:w="865"/>
        <w:gridCol w:w="196"/>
        <w:gridCol w:w="406"/>
        <w:gridCol w:w="109"/>
        <w:gridCol w:w="109"/>
        <w:gridCol w:w="109"/>
        <w:gridCol w:w="109"/>
        <w:gridCol w:w="196"/>
        <w:gridCol w:w="584"/>
        <w:gridCol w:w="109"/>
        <w:gridCol w:w="109"/>
        <w:gridCol w:w="109"/>
        <w:gridCol w:w="109"/>
        <w:gridCol w:w="196"/>
        <w:gridCol w:w="584"/>
        <w:gridCol w:w="109"/>
        <w:gridCol w:w="109"/>
        <w:gridCol w:w="109"/>
        <w:gridCol w:w="109"/>
        <w:gridCol w:w="196"/>
        <w:gridCol w:w="449"/>
        <w:gridCol w:w="109"/>
        <w:gridCol w:w="109"/>
        <w:gridCol w:w="109"/>
        <w:gridCol w:w="109"/>
        <w:gridCol w:w="196"/>
        <w:gridCol w:w="584"/>
        <w:gridCol w:w="109"/>
        <w:gridCol w:w="109"/>
        <w:gridCol w:w="109"/>
        <w:gridCol w:w="109"/>
        <w:gridCol w:w="224"/>
        <w:gridCol w:w="224"/>
        <w:gridCol w:w="279"/>
        <w:gridCol w:w="109"/>
        <w:gridCol w:w="109"/>
        <w:gridCol w:w="109"/>
        <w:gridCol w:w="179"/>
        <w:gridCol w:w="179"/>
        <w:gridCol w:w="33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related to major classes of pre-tax earnings (loss)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disposal group</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 attributable to FIS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firstLine="27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to the consolidated financial statements, the Company completed the 2024 Worldpay Sale on January 31, 2024. The results of the Worldpay Merchant Solutions business prior to the completion of the 2024 Worldpay Sale have been presented as discontinued operations.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changes in each of the captions above from the prior year are a result of the 2024 Worldpay Sale.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we recorded a loss on sale of the Worldpay disposal group of $578 million, including the impact of post-closing adjustments.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pPr>
      <w:r>
        <w:rPr>
          <w:rFonts w:ascii="Times New Roman;serif" w:hAnsi="Times New Roman;serif"/>
          <w:b w:val="false"/>
          <w:color w:val="000000"/>
          <w:sz w:val="20"/>
        </w:rPr>
        <w:t>For the year ended December 31, 2024</w:t>
      </w:r>
      <w:r>
        <w:rPr>
          <w:rFonts w:ascii="Times New Roman;serif" w:hAnsi="Times New Roman;serif"/>
          <w:b w:val="false"/>
          <w:color w:val="212121"/>
          <w:sz w:val="20"/>
        </w:rPr>
        <w:t xml:space="preserve">, the Company recorded a tax benefit of </w:t>
      </w:r>
      <w:r>
        <w:rPr>
          <w:rFonts w:ascii="Times New Roman;serif" w:hAnsi="Times New Roman;serif"/>
          <w:b w:val="false"/>
          <w:color w:val="000000"/>
          <w:sz w:val="20"/>
        </w:rPr>
        <w:t>$1.1 billion</w:t>
      </w:r>
      <w:r>
        <w:rPr>
          <w:rFonts w:ascii="Times New Roman;serif" w:hAnsi="Times New Roman;serif"/>
          <w:b w:val="false"/>
          <w:color w:val="212121"/>
          <w:sz w:val="20"/>
        </w:rPr>
        <w:t>, primarily from the write-off of U.S. deferred tax liabilities that were not transferred in the 2024 Worldpay Sale, net of the estimated U.S. tax cost that the Company expects to incur as a result of the 2024 Worldpay Sale.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2023, Earnings (loss) from discontinued operations related to major classes of pre-tax earnings (loss), as well as Earnings (loss) from discontinued operations, net of tax, included a $6.8 billion impairment of goodwill. Additionally, beginning on July 5, 2023, the Company ceased amortization of long-lived assets held for sale.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we recorded a pre-tax loss on assets held for sale of $1.9 billion, reflecting the establishment of a valuation allowance to reduce the Worldpay Merchant Solutions disposal group's carrying value down to fair value less cost to sell as discussed in Note 3 to the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FIS reports its financial performance based on the following segments: Banking Solutions; Capital Market Solutions;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and Corporate and Other.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Adjusted EBITDA is a measure of segment profit or loss reported to the chief operating decision maker, the Company's Chief Executive Officer and President, for purposes of making decisions about allocating resources to the segments and assessing their performance. For this reason, Adjusted EBITDA, as it relates to our segments, is presented in conformity with FASB ASC Topic 280, </w:t>
      </w:r>
      <w:r>
        <w:rPr>
          <w:rFonts w:ascii="Times New Roman;serif" w:hAnsi="Times New Roman;serif"/>
          <w:b w:val="false"/>
          <w:i/>
          <w:color w:val="000000"/>
          <w:sz w:val="20"/>
        </w:rPr>
        <w:t>Segment Reporting</w:t>
      </w:r>
      <w:r>
        <w:rPr>
          <w:rFonts w:ascii="Times New Roman;serif" w:hAnsi="Times New Roman;serif"/>
          <w:b w:val="false"/>
          <w:color w:val="000000"/>
          <w:sz w:val="20"/>
        </w:rPr>
        <w:t>. Adjusted EBITDA is defined as net earnings (loss) before net interest expense, net other income (expense), income tax provision (benefit), equity method investment earnings (loss), and depreciation and amortization, and excludes certain costs that do not constitute normal, recurring, cash operating expenses necessary to operate our business. These excluded costs generally consist of the purchase price amortization of acquired intangible assets as well as acquisition, integration and certain other costs and asset impairments. These costs and adjustments are recorded in the Corporate and Other segment for the periods discussed below. Financial information, including details of Adjusted EBITDA, for each of our segments is set forth in Note 22 to the consolidated financial statements.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Banking Solutions</w:t>
      </w:r>
    </w:p>
    <w:tbl>
      <w:tblPr>
        <w:tblW w:w="10205" w:type="dxa"/>
        <w:jc w:val="left"/>
        <w:tblInd w:w="0" w:type="dxa"/>
        <w:tblLayout w:type="fixed"/>
        <w:tblCellMar>
          <w:top w:w="28" w:type="dxa"/>
          <w:left w:w="28" w:type="dxa"/>
          <w:bottom w:w="28" w:type="dxa"/>
          <w:right w:w="28" w:type="dxa"/>
        </w:tblCellMar>
      </w:tblPr>
      <w:tblGrid>
        <w:gridCol w:w="780"/>
        <w:gridCol w:w="687"/>
        <w:gridCol w:w="69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11"/>
        <w:gridCol w:w="466"/>
        <w:gridCol w:w="109"/>
        <w:gridCol w:w="109"/>
        <w:gridCol w:w="109"/>
        <w:gridCol w:w="109"/>
        <w:gridCol w:w="147"/>
        <w:gridCol w:w="125"/>
        <w:gridCol w:w="312"/>
        <w:gridCol w:w="109"/>
        <w:gridCol w:w="109"/>
        <w:gridCol w:w="109"/>
        <w:gridCol w:w="144"/>
        <w:gridCol w:w="125"/>
        <w:gridCol w:w="363"/>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basis points change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2025, compared to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Banking segment increased 6% for the year ended December 31, 2025, driven primarily by recurring revenue, which grew 6% from broad-based growth across the portfolio, led by our core and digital and payments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due to higher revenue. Adjusted EBITDA margin decreased year over year primarily due to unfavorable revenue mix.</w:t>
      </w:r>
    </w:p>
    <w:p>
      <w:pPr>
        <w:pStyle w:val="TextBody"/>
        <w:bidi w:val="0"/>
        <w:spacing w:before="0" w:after="0"/>
        <w:ind w:left="0" w:right="0" w:firstLine="360"/>
        <w:jc w:val="left"/>
        <w:rPr/>
      </w:pPr>
      <w:r>
        <w:rPr/>
      </w:r>
    </w:p>
    <w:p>
      <w:pPr>
        <w:pStyle w:val="TextBody"/>
        <w:bidi w:val="0"/>
        <w:spacing w:lineRule="auto" w:line="276"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2024, compared to 2023:</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Banking segment increased 2% for the year ended December 31, 2024. Recurring revenue contributed 3% to the total segment revenue growth rate, driven by higher transaction processing revenue. A decline in non-recurring revenue offset the growth rate by (1%), driven by the completion of federally funded pandemic relief programs.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due to the revenue impacts noted above and the positive impact of the operating leverage and labor productivity and outsourcing initiatives. Adjusted EBITDA margin expanded year over year, driven primarily by labor productivity and outsourcing initiatives and favorable revenue mix compared to the prior year, including an increase in high-margin license revenue.</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76"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Capital Market Solutions</w:t>
      </w:r>
    </w:p>
    <w:tbl>
      <w:tblPr>
        <w:tblW w:w="10205" w:type="dxa"/>
        <w:jc w:val="left"/>
        <w:tblInd w:w="0" w:type="dxa"/>
        <w:tblLayout w:type="fixed"/>
        <w:tblCellMar>
          <w:top w:w="28" w:type="dxa"/>
          <w:left w:w="28" w:type="dxa"/>
          <w:bottom w:w="28" w:type="dxa"/>
          <w:right w:w="28" w:type="dxa"/>
        </w:tblCellMar>
      </w:tblPr>
      <w:tblGrid>
        <w:gridCol w:w="780"/>
        <w:gridCol w:w="687"/>
        <w:gridCol w:w="69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11"/>
        <w:gridCol w:w="466"/>
        <w:gridCol w:w="109"/>
        <w:gridCol w:w="109"/>
        <w:gridCol w:w="109"/>
        <w:gridCol w:w="109"/>
        <w:gridCol w:w="147"/>
        <w:gridCol w:w="125"/>
        <w:gridCol w:w="312"/>
        <w:gridCol w:w="109"/>
        <w:gridCol w:w="109"/>
        <w:gridCol w:w="109"/>
        <w:gridCol w:w="144"/>
        <w:gridCol w:w="125"/>
        <w:gridCol w:w="363"/>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basis points change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2025, compared to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Capital Markets segment increased 7% for the year ended December 31, 2025, driven primarily by recurring revenue which grew 6%, contributing 4% to the total segment revenue growth rate, largely from the implementation of new sales, favorable pricing and acquisitions. Non-recurring revenue contributed 2% to the segment revenue growth rate primarily due to increased license sales. Foreign currency movements contributed 1% to the segment revenue growth rate, primarily from movements in the Swedish Krona and Pound Sterling.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increased year over year due to the revenue impacts noted above. Adjusted EBITDA margin increased year over year primarily due to cost management and favorable revenue mix, partially offset by the dilutive impact of a business acquired in December 2024. </w:t>
      </w:r>
    </w:p>
    <w:p>
      <w:pPr>
        <w:pStyle w:val="TextBody"/>
        <w:bidi w:val="0"/>
        <w:spacing w:before="0" w:after="0"/>
        <w:ind w:left="0" w:right="0" w:firstLine="360"/>
        <w:jc w:val="left"/>
        <w:rPr/>
      </w:pPr>
      <w:r>
        <w:rPr/>
      </w:r>
    </w:p>
    <w:p>
      <w:pPr>
        <w:pStyle w:val="TextBody"/>
        <w:bidi w:val="0"/>
        <w:spacing w:lineRule="auto" w:line="276"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2024, compared to 2023:</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Capital Markets segment increased 8% for the year ended December 31, 2024. Recurring revenue contributed 5% to the total segment revenue growth rate due to new SaaS sales to both new and existing customers, and non-recurring revenue contributed 2% to the growth rate due primarily to increased license sales. Foreign currency movements contributed 1% to the growth rate.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increased year over year due to the revenue impacts noted above. Adjusted EBITDA margin increased year over year due primarily to the segment's operating leverage, continued cost management and increased higher-margin license revenue.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Corporate and Other</w:t>
      </w:r>
    </w:p>
    <w:tbl>
      <w:tblPr>
        <w:tblW w:w="9316" w:type="dxa"/>
        <w:jc w:val="left"/>
        <w:tblInd w:w="0" w:type="dxa"/>
        <w:tblLayout w:type="fixed"/>
        <w:tblCellMar>
          <w:top w:w="28" w:type="dxa"/>
          <w:left w:w="28" w:type="dxa"/>
          <w:bottom w:w="28" w:type="dxa"/>
          <w:right w:w="28" w:type="dxa"/>
        </w:tblCellMar>
      </w:tblPr>
      <w:tblGrid>
        <w:gridCol w:w="579"/>
        <w:gridCol w:w="510"/>
        <w:gridCol w:w="515"/>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436"/>
        <w:gridCol w:w="109"/>
        <w:gridCol w:w="109"/>
        <w:gridCol w:w="109"/>
        <w:gridCol w:w="109"/>
        <w:gridCol w:w="211"/>
        <w:gridCol w:w="436"/>
        <w:gridCol w:w="109"/>
        <w:gridCol w:w="109"/>
        <w:gridCol w:w="109"/>
        <w:gridCol w:w="109"/>
        <w:gridCol w:w="218"/>
        <w:gridCol w:w="218"/>
        <w:gridCol w:w="366"/>
        <w:gridCol w:w="109"/>
        <w:gridCol w:w="109"/>
        <w:gridCol w:w="109"/>
        <w:gridCol w:w="218"/>
        <w:gridCol w:w="218"/>
        <w:gridCol w:w="417"/>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vs</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Corporate and Other segment results consist of selling, general and administrative expenses and depreciation and intangible asset amortization not otherwise allocated to the reportable segments. Corporate and Other also includes other operating income recorded in connection with our TSA with Worldpay, as well as operations from certain non-strategic businesses.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2025, compared to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Corporate and Other segment decreased 23% for the year ended December 31, 2025, primarily due to the divestiture of a non-strategic business during the first quarter of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decreased compared to the prior year primarily due to higher corporate costs, including a reduction in income from the Worldpay TSA recognized as a contra-expense.</w:t>
      </w:r>
    </w:p>
    <w:p>
      <w:pPr>
        <w:pStyle w:val="TextBody"/>
        <w:bidi w:val="0"/>
        <w:spacing w:before="0" w:after="0"/>
        <w:ind w:left="0" w:right="0" w:firstLine="36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firstLine="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Year ended December 31, 2024, compared to 2023:</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 our Corporate and Other segment decreased 20% for the year ended December 31, 2024, due to the ramp down of non-strategic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decreased primarily due to the revenue impacts noted above, as well as higher costs due to dis-synergies associated with the 2024 Worldpay Sale.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ongoing cash requirements include operating expenses, income taxes, debt service payments, capital expenditures, stockholder dividends, working capital and timing differences in settlement-related assets and liabilities and may include discretionary debt repayments, share repurchases and business acquisitions. Our principal sources of funds are cash generated by operations and borrowings, including the capacity under our revolving credit facilities, the U.S. commercial paper program and the Euro-commercial paper program discussed in Note 14 to the consolidated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$4,655 million of available liquidity, including $599 million of cash and cash equivalents and $4,056 million of capacity available under its revolving credit facilities. Approximately $329 million of cash and cash equivalents is held by our foreign entities. A portion of our domestic cash and cash equivalents relates to net deposits-in-transit, which are typically settled within a few business days. Debt outstanding totaled $13.1 billion, with an effective weighted average interest rate of 3.0%. We intend to continue to maintain investment-grade debt ratings.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funded the Issuer Solutions Acquisition through a combination of approximately $7.7 billion of new debt drawn under a term facility, as discussed in Note 14 to the consolidated financial statements, and the 2026 Worldpay Minority Interest Sale. FIS expects to replace the Term Facility with new permanent financing in the form of senior notes to be issued based on market conditions. We expect our future cash paid for interest to increase from current levels as a result of financing the Issuer Solutions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level of cash and cash equivalents plus cash flows from operations will be sufficient to fund our operating cash requirements, capital expenditures and debt service payments for the next 12 months and the foreseeable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2026, the Board of Directors approved a quarterly dividend of $0.44 per share beginning with the first quarter of 2026. A regular quarterly dividend of $0.44 per common share is payable on March 24, 2026, to shareholders of record as of the close of business on March 10, 2026. We currently expect to continue to pay quarterly dividends targeting dividend-per-share growth aligned to adjusted earnings per share growth. However, the amount, declaration and payment of future dividends are at the discretion of the Board of Directors and depend on, among other things, our investment opportunities (including potential mergers and acquisitions), results of operations, financial condition, cash requirements, future prospects, and other factors, including legal and contractual restrictions, that may be considered relevant by our Board of Directors. Additionally, the payment of cash dividends may be limited by covenants in certain debt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2024, our Board of Directors approved a share repurchase program authorizing the repurchase of up to $3.0 billion in aggregate value of shares of our common stock (the "2024 Repurchase Program"). Repurchases under this program are made at management's discretion from time to time on the open market or in privately negotiated transactions and through Rule 10b5-1 plans. The repurchase program does not have an expiration date and may be suspended for periods, amended or discontinued at any time. The Company repurchased approximately 18 million shares for approximately $1.3 billion during 2025 inclusive of repurchases completed under our share repurchase program authorized in January 2021. Approximately $1.8 billion remained available for repurchase under the 2024 Repurchase Program as of December 31, 2025. Following the closing of the Issuer Solutions Acquisition, the Company temporarily paused repurchases under this program and will resume at management's discretion, taking into account our target leverage ratio.</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Flows from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net cash provided by operating activities consists primarily of net earnings, adjusted to add back depreciation and amortization and other non-cash items including asset impairments, loss on extinguishment of debt, and loss from equity method investment. Cash flows from operations were $2,608 million, $2,175 million and $2,078 million in 2025, 2024 and 2023, respectively. Cash flows from operations increased $433 million in 2025 and increased $97 million in 2024.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cash flows from operations is primarily due to higher net earnings adjusted for non-cash items and improved working capital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Flows from Investing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investing activity relates to capital expenditures for software (purchased and internally developed) and property and equipment. We invested approximately $989 million, $817 million and $780 million in capital expenditures (excluding purchases of certain hardware and software subject to financing or other long-term payment arrangements) during 2025, 2024 and 2023, respectively. We expect to continue investing in software and in property and equipment to support our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invest in acquisitions that complement and extend our existing solutions and capabilities and provide additional solutions to our portfolio, and we dispose of assets that are no longer considered strategic. In 2025 and 2024, we used approximately $573 million and $514 million, respectively, of cash (net of cash acquired) related to new acquisitions. In 2024, in connection with the 2024 Worldpay Sale, we received $12.8 billion in cash proceeds. In 2025 and 2024, we divested $1.4 billion and $3.1 billion in cash, cash equivalents and restricted cash, respectively, included in current assets held for sale at the date of sale. The 2025 and 2024 divestitures were included in current assets held for sale at the date of sale. While we expect to continue to invest in acquisitions as part of our strategy to add solutions to help win new clients and cross-sell to existing clients, after closing the Issuer Solutions Acquisition, the Company expects to limit further investment in acquisitions to accelerate deleveraging until it returns to its target leverage ratio.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received distributions of $147 million and $47 million, respectively, from Worldpay recorded as investing cash flows. We received regular cash distributions from Worldpay pursuant to the terms of the Limited Liability Company Operating Agreement ("LLCA") described in Note 4 to the consolidated financial statements until the completion of the 2026 Worldpay Minority Interest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also occasionally include cash received or paid relative to other activities that are not regularly recurring in nature. In 2025 and 2024, we paid approximately $0 million and $8 million, respectively, of net cash related to the settlement of cross-currency interest rate swaps.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Flows from Financing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principally involve borrowing funds, repaying debt, repurchasing shares and paying dividends. For information regarding the Company's debt and financing activity, see "Risk Factors—Risks Related to Our Indebtedness" in Item 1A and "Quantitative and Qualitative Disclosures About Market Risk—Interest Rate Risk" in Item 7A of this Annual Report and Notes 14 and 15 to the consolidated financial statements.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long-term contractual obligations generally include its long-term debt, interest on long-term debt including the impact of accounting hedges, net coupon payments on undesignated interest rate swaps, lease payments on certain of its property and equipment and payments for certain purchase commitments and other obligations. See Notes 14, 15 and 16 to the consolidated financial statements for information on our long-term debt, financial instruments and operating leases, respectively. The following table summarizes FIS' other significant contractual obligations and commitments as of December 31, 2025 (in millions):</w:t>
      </w:r>
    </w:p>
    <w:tbl>
      <w:tblPr>
        <w:tblW w:w="9030" w:type="dxa"/>
        <w:jc w:val="left"/>
        <w:tblInd w:w="0" w:type="dxa"/>
        <w:tblLayout w:type="fixed"/>
        <w:tblCellMar>
          <w:top w:w="28" w:type="dxa"/>
          <w:left w:w="28" w:type="dxa"/>
          <w:bottom w:w="28" w:type="dxa"/>
          <w:right w:w="28" w:type="dxa"/>
        </w:tblCellMar>
      </w:tblPr>
      <w:tblGrid>
        <w:gridCol w:w="1020"/>
        <w:gridCol w:w="895"/>
        <w:gridCol w:w="90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in</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commitments (2)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net coupons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amounts above include the impact of accounting hedges and assume that (a) applicable margins and commitment fees remain constant; (b) variable-rates in effect as of December 31, 2025, remain constant; (c) no refinancing occurs at debt maturity; (d) only mandatory debt repayments are made; (e) no new hedging transactions are effected; and (f) there are no future currency effects.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obligations principally for software, maintenance, and consulting and outsourced services, including cloud hosting and data centers.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amounts above reflect the net coupon payments on the fixed-to-variable and offsetting variable-to-fixed interest rate swaps, as described in Note 15, that result in a net fixed coupon spread payable by the Company; the amounts also assume that there are no future currency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Guidance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 (v) to the consolidated financial statements for information on recently adopted accounting guidance.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Recent Accounting Guidance Not Yet Adopted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See Note 2 (v) to the consolidated financial statements for information on recent accounting guidance not yet adopted.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other recently adopted accounting pronouncements or newly issued accounting pronouncements not yet effective during the fiscal year are expected to have a material impact on our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primarily from changes in interest rates and foreign currency exchange rates. We periodically use certain derivative financial instruments, including interest rate swaps, cross-currency interest rate swaps and foreign currency forward contracts, to manage interest rate and foreign currency risk. We do not use derivatives for trading purposes, to generate income or to engage in speculative activity.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existing cash balances and cash provided by operating activities, we use fixed-rate and variable-rate debt to finance our operations. We are exposed to interest rate risk on these debt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fixed-rate senior notes (as included in Note 14 to the consolidated financial statements) represent the majority of our fixed-rate long-term debt obligations as of December 31, 2025. The carrying value, excluding the fair value basis adjustments due to interest rate swaps described below and unamortized discounts, of our senior notes was $10.3 billion as of December 31, 2025. The fair value of our senior notes was approximately $9.7 billion as of December 31, 2025. The potential reduction in fair value of the senior notes from a hypothetical 10 percent increase in market interest rates would not be material to the overall fair value of the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variable-rate risk principally relates to borrowings under our U.S. commercial paper program, Euro-commercial paper program and revolving credit facilities (as included in Note 14 to the consolidated financial statements) (collectively, "variable-rate debt"). As of December 31, 2025, our weighted-average cost of debt was 3.0% with a weighted-average maturity of 4.8 years; 77% of our debt was fixed rate, and the remaining 23% was variable-rate debt, inclusive of fair value basis adjustments due to interest rate swaps. A 100 basis-point increase in the weighted-average interest rate on our variable-rate debt would have increased our 2025 annual interest expense by $29 million. We performed the foregoing sensitivity analysis based solely on the outstanding balance of our variable-rate debt as of December 31, 2025. This sensitivity analysis does not take into account any changes that occurred in the prior 12 months or that may take place in the next 12 months in the amount of our outstanding debt. Further, this sensitivity analysis assumes the change in interest rates is applicable for an entire year. For comparison purposes, based on the outstanding balance of our variable-rate debt as of December 31, 2024, and calculated in the same manner as set forth above, an increase of 100 basis points in the weighted-average interest rate would have increased our annual interest expense by approximately $8 million.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We manage the exposure to these risks through a combination of normal operating activities and the use of foreign currency forward contracts and non-derivative and derivative instruments.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foreign currency exchange risks generally arises from our non-U.S. operations, to the extent they are conducted in local currency. Changes in foreign currency exchange rates affect translations of revenue denominated in currencies other than the U.S. Dollar. During the years ended December 31, 2025, 2024 and 2023, we generated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$1,358 million, $1,267 million and $1,261 million, respectively, in revenue denominated in currencies other than the U.S. Dollar. The major currencies to which our revenue is exposed are the British Pound Sterling, Euro, Swedish Krona, Australian Dollar, Brazilian Real, Swiss Franc, Canadian Dollar and Indian Rupee. A 10% movement in average exchange rates for these currencies (assuming a simultaneous and immediate 10% change in all of such rates for the relevant period) would have resulted in the following increase or decrease in our reported revenue for the years ended December 31, 2025, 2024 and 2023 (in millions):</w:t>
      </w:r>
    </w:p>
    <w:tbl>
      <w:tblPr>
        <w:tblW w:w="5588" w:type="dxa"/>
        <w:jc w:val="left"/>
        <w:tblInd w:w="0" w:type="dxa"/>
        <w:tblLayout w:type="fixed"/>
        <w:tblCellMar>
          <w:top w:w="28" w:type="dxa"/>
          <w:left w:w="28" w:type="dxa"/>
          <w:bottom w:w="28" w:type="dxa"/>
          <w:right w:w="28" w:type="dxa"/>
        </w:tblCellMar>
      </w:tblPr>
      <w:tblGrid>
        <w:gridCol w:w="798"/>
        <w:gridCol w:w="700"/>
        <w:gridCol w:w="70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Pound Sterling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Swedish Krona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Real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 Rupee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or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results of operations have been impacted by the effects of currency fluctuations, our international operations' revenue and expenses are generally denominated in local currency, which reduces our economic exposure to foreign exchange risk in those jurisdictions.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foreign exchange risk management policy permits the use of derivative instruments, such as forward contracts and options, to reduce volatility in our results of operations and/or cash flows resulting from foreign exchange rate fluctuations. We do not enter into foreign currency derivative instruments for trading purposes or to engage in speculative activity. We do periodically enter into foreign currency forward contracts to hedge foreign currency exposure to intercompany loans, other balance sheet items or expected foreign currency cash flows resulting from forecasted transactions. The Company also utilizes foreign currency-denominated debt and cross-currency interest rate swaps designated as net investment hedges in order to reduce the volatility of the net investment value of certain of its non-U.S. dollar functional currency subsidiaries and utilizes cross-currency interest rate swaps designated as fair value hedges in order to mitigate the impact of foreign currency risk associated with our foreign currency-denominated debt (see Note 15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ind w:left="0" w:right="0" w:hanging="108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INFORMATION</w:t>
      </w:r>
    </w:p>
    <w:tbl>
      <w:tblPr>
        <w:tblW w:w="10205" w:type="dxa"/>
        <w:jc w:val="left"/>
        <w:tblInd w:w="0" w:type="dxa"/>
        <w:tblLayout w:type="fixed"/>
        <w:tblCellMar>
          <w:top w:w="28" w:type="dxa"/>
          <w:left w:w="28" w:type="dxa"/>
          <w:bottom w:w="28" w:type="dxa"/>
          <w:right w:w="28" w:type="dxa"/>
        </w:tblCellMar>
      </w:tblPr>
      <w:tblGrid>
        <w:gridCol w:w="3478"/>
        <w:gridCol w:w="2987"/>
        <w:gridCol w:w="3003"/>
        <w:gridCol w:w="215"/>
        <w:gridCol w:w="215"/>
        <w:gridCol w:w="307"/>
      </w:tblGrid>
      <w:tr>
        <w:trPr/>
        <w:tc>
          <w:tcPr>
            <w:tcW w:w="347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Page </w:t>
              <w:br/>
              <w:t>Number</w:t>
            </w:r>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00">
              <w:r>
                <w:rPr>
                  <w:rStyle w:val="InternetLink"/>
                  <w:rFonts w:ascii="Times New Roman;serif" w:hAnsi="Times New Roman;serif"/>
                  <w:b w:val="false"/>
                  <w:color w:val="000000"/>
                  <w:sz w:val="20"/>
                  <w:u w:val="single"/>
                </w:rPr>
                <w:t>Report of Independent Registered Public Accounting Firm on Internal Control over Financial Reporting</w:t>
              </w:r>
            </w:hyperlink>
            <w:r>
              <w:rPr>
                <w:color w:val="000000"/>
              </w:rPr>
              <w:t xml:space="preserve"> </w:t>
            </w:r>
            <w:r>
              <w:rPr>
                <w:rFonts w:ascii="Times New Roman;serif" w:hAnsi="Times New Roman;serif"/>
                <w:b w:val="false"/>
                <w:color w:val="000000"/>
                <w:sz w:val="20"/>
              </w:rPr>
              <w:t>KPMG LLP, Jacksonville, Florida, Auditor Firm ID: 185</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ce25c693ee546779f285b77bacb5ccf_100">
              <w:r>
                <w:rPr>
                  <w:rStyle w:val="InternetLink"/>
                  <w:rFonts w:ascii="Times New Roman;serif" w:hAnsi="Times New Roman;serif"/>
                  <w:b w:val="false"/>
                  <w:color w:val="000000"/>
                  <w:sz w:val="20"/>
                  <w:u w:val="single"/>
                </w:rPr>
                <w:t>48</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03">
              <w:r>
                <w:rPr>
                  <w:rStyle w:val="InternetLink"/>
                  <w:rFonts w:ascii="Times New Roman;serif" w:hAnsi="Times New Roman;serif"/>
                  <w:b w:val="false"/>
                  <w:color w:val="000000"/>
                  <w:sz w:val="20"/>
                  <w:u w:val="single"/>
                </w:rPr>
                <w:t>Report of Independent Registered Public Accounting Firm on the Consolidated Financial Statements</w:t>
              </w:r>
            </w:hyperlink>
            <w:r>
              <w:rPr>
                <w:color w:val="000000"/>
              </w:rPr>
              <w:t xml:space="preserve"> </w:t>
            </w:r>
            <w:r>
              <w:rPr>
                <w:rFonts w:ascii="Times New Roman;serif" w:hAnsi="Times New Roman;serif"/>
                <w:b w:val="false"/>
                <w:color w:val="000000"/>
                <w:sz w:val="20"/>
              </w:rPr>
              <w:t>KPMG LLP, Jacksonville, Florida, Auditor Firm ID: 185</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03">
              <w:r>
                <w:rPr>
                  <w:rStyle w:val="InternetLink"/>
                  <w:rFonts w:ascii="Times New Roman;serif" w:hAnsi="Times New Roman;serif"/>
                  <w:b w:val="false"/>
                  <w:color w:val="000000"/>
                  <w:sz w:val="20"/>
                  <w:u w:val="single"/>
                </w:rPr>
                <w:t>49</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06">
              <w:r>
                <w:rPr>
                  <w:rStyle w:val="InternetLink"/>
                  <w:rFonts w:ascii="Times New Roman;serif" w:hAnsi="Times New Roman;serif"/>
                  <w:b w:val="false"/>
                  <w:color w:val="000000"/>
                  <w:sz w:val="20"/>
                  <w:u w:val="single"/>
                </w:rPr>
                <w:t>Consolidated Balance Sheets as of December 31, 2025 and 2024</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06">
              <w:r>
                <w:rPr>
                  <w:rStyle w:val="InternetLink"/>
                  <w:rFonts w:ascii="Times New Roman;serif" w:hAnsi="Times New Roman;serif"/>
                  <w:b w:val="false"/>
                  <w:color w:val="000000"/>
                  <w:sz w:val="20"/>
                  <w:u w:val="single"/>
                </w:rPr>
                <w:t>51</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09">
              <w:r>
                <w:rPr>
                  <w:rStyle w:val="InternetLink"/>
                  <w:rFonts w:ascii="Times New Roman;serif" w:hAnsi="Times New Roman;serif"/>
                  <w:b w:val="false"/>
                  <w:color w:val="000000"/>
                  <w:sz w:val="20"/>
                  <w:u w:val="single"/>
                </w:rPr>
                <w:t>Consolidated Statements of Earnings (Loss) for the years ended December 31, 2025, 2024 and 2023</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09">
              <w:r>
                <w:rPr>
                  <w:rStyle w:val="InternetLink"/>
                  <w:rFonts w:ascii="Times New Roman;serif" w:hAnsi="Times New Roman;serif"/>
                  <w:b w:val="false"/>
                  <w:color w:val="000000"/>
                  <w:sz w:val="20"/>
                  <w:u w:val="single"/>
                </w:rPr>
                <w:t>52</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12">
              <w:r>
                <w:rPr>
                  <w:rStyle w:val="InternetLink"/>
                  <w:rFonts w:ascii="Times New Roman;serif" w:hAnsi="Times New Roman;serif"/>
                  <w:b w:val="false"/>
                  <w:color w:val="000000"/>
                  <w:sz w:val="20"/>
                  <w:u w:val="single"/>
                </w:rPr>
                <w:t>Consolidated Statements of Comprehensive Earnings (Loss) for the years ended December 31, 2025, 2024 and 2023</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12">
              <w:r>
                <w:rPr>
                  <w:rStyle w:val="InternetLink"/>
                  <w:rFonts w:ascii="Times New Roman;serif" w:hAnsi="Times New Roman;serif"/>
                  <w:b w:val="false"/>
                  <w:color w:val="000000"/>
                  <w:sz w:val="20"/>
                  <w:u w:val="single"/>
                </w:rPr>
                <w:t>53</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15">
              <w:r>
                <w:rPr>
                  <w:rStyle w:val="InternetLink"/>
                  <w:rFonts w:ascii="Times New Roman;serif" w:hAnsi="Times New Roman;serif"/>
                  <w:b w:val="false"/>
                  <w:color w:val="000000"/>
                  <w:sz w:val="20"/>
                  <w:u w:val="single"/>
                </w:rPr>
                <w:t>Consolidated Statements of Equity for the years ended December 31, 2025, 2024 and 2023</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15">
              <w:r>
                <w:rPr>
                  <w:rStyle w:val="InternetLink"/>
                  <w:rFonts w:ascii="Times New Roman;serif" w:hAnsi="Times New Roman;serif"/>
                  <w:b w:val="false"/>
                  <w:color w:val="000000"/>
                  <w:sz w:val="20"/>
                  <w:u w:val="single"/>
                </w:rPr>
                <w:t>54</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18">
              <w:r>
                <w:rPr>
                  <w:rStyle w:val="InternetLink"/>
                  <w:rFonts w:ascii="Times New Roman;serif" w:hAnsi="Times New Roman;serif"/>
                  <w:b w:val="false"/>
                  <w:color w:val="000000"/>
                  <w:sz w:val="20"/>
                  <w:u w:val="single"/>
                </w:rPr>
                <w:t>Consolidated Statements of Cash Flows for the years ended December 31, 2025, 2024 and 2023</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18">
              <w:r>
                <w:rPr>
                  <w:rStyle w:val="InternetLink"/>
                  <w:rFonts w:ascii="Times New Roman;serif" w:hAnsi="Times New Roman;serif"/>
                  <w:b w:val="false"/>
                  <w:color w:val="000000"/>
                  <w:sz w:val="20"/>
                  <w:u w:val="single"/>
                </w:rPr>
                <w:t>55</w:t>
              </w:r>
            </w:hyperlink>
          </w:p>
        </w:tc>
      </w:tr>
      <w:tr>
        <w:trPr/>
        <w:tc>
          <w:tcPr>
            <w:tcW w:w="94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e25c693ee546779f285b77bacb5ccf_121">
              <w:r>
                <w:rPr>
                  <w:rStyle w:val="InternetLink"/>
                  <w:rFonts w:ascii="Times New Roman;serif" w:hAnsi="Times New Roman;serif"/>
                  <w:b w:val="false"/>
                  <w:color w:val="000000"/>
                  <w:sz w:val="20"/>
                  <w:u w:val="single"/>
                </w:rPr>
                <w:t>Notes to Consolidated Financial Statements</w:t>
              </w:r>
            </w:hyperlink>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e25c693ee546779f285b77bacb5ccf_121">
              <w:r>
                <w:rPr>
                  <w:rStyle w:val="InternetLink"/>
                  <w:rFonts w:ascii="Times New Roman;serif" w:hAnsi="Times New Roman;serif"/>
                  <w:b w:val="false"/>
                  <w:color w:val="000000"/>
                  <w:sz w:val="20"/>
                  <w:u w:val="single"/>
                </w:rPr>
                <w:t>56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Fidelity National Information Services,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earnings (loss), comprehensive earnings (loss), equity, and cash flows for each of the years in the three-year period ended December 31, 2025, and the related notes (collectively, the consolidated financial statements), and our report dated February 24, 2026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Fidelity National Information Services, Inc. and subsidiaries (the Company) as of December 31, 2025 and 2024, the related consolidated statements of earnings (loss), comprehensive earnings (loss),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24, 2026 expressed an unqualified opinion on the effectiveness of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Sufficiency of audit evidence over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disclosed in Note 2 to the consolidated financial statements, the Company’s revenue consists of the following types of revenue streams: i) transaction processing and services, ii) software maintenance, iii) software license, iv) professional services, and v) other recurring and non-recurring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sufficiency of audit evidence over revenue as a critical audit matter. Evaluating the sufficiency of audit evidence required subjective auditor judgment because of the number of revenue streams, related revenue recognition processes, and the number of information technology (IT) applications utilized in the revenue recognition process to capture and aggregate the data.</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Based on our knowledge of the Company, we applied auditor judgment to determine the nature and extent of procedures to be performed over revenue. Specifically, we: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the design and tested the operating effectiveness of certain internal controls within relevant revenue recognition processes, including general IT controls and IT application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involved IT professionals, who assisted in the identification and testing of certain IT systems and related controls that are used by the Company in its revenue recognition process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selected certain individual contracts and read the underlying contract and other documents that were part of the contract for each selection and evaluated the consistency of the revenue recognition determinations with the Company’s accounting policies and revenue recognition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assessed the recorded revenue by selecting a sample of transactions and comparing the amounts recognized for consistency with the Company’s accounting policies and underlying documentation, including contracts with customers and other relevant and reliable third-party data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performed a software-assisted data analysis to test relationships among certain revenue transactions. For a selection of transactions, we compared the amounts recognized by the Company with underlying documentation, including contracts with customers and cash receipts.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evaluated the sufficiency of the audit evidence obtained by assessing the results of procedures performed over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income tax positions related to certain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Note 17 to the consolidated financial statements, the Company’s provision for income taxes for the year ended December 31, 2025 was $265 million. The Company has consolidated deferred tax liabilities, net of $1,188 million (including a valuation allowance of $914 million) as of December 31, 2025. The Company evaluates and measures uncertain tax positions taken or expected to be taken on tax returns and records liabilities for such positions that in its judgment may not be sustained, or only partially sustained, upon examination by taxing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the Company’s income tax positions related to certain transactions as a critical audit matter. Specifically, complex and challenging auditor judgment, and the involvement of tax professionals with specialized skills and knowledge, was required to evaluate the Company’s interpretation and application of income tax regulations in both domestic and foreign jurisdictions for certain tax positions and to assess whether certain tax positions are more likely than not of being sustained upon examination.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income tax process. This included certain controls related to the Company’s interpretation and application of domestic and foreign tax regulations and the evaluation of whether certain tax positions are more-likely-than-not of being sustained upon examination. We involved tax professionals with specialized skills and knowledge in domestic and certain foreign jurisdictions, who assisted in:</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assessing the Company’s organization chart, intercompany documentation, and correspondence with third parties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evaluating the Company’s interpretation and application of domestic and foreign jurisdictional tax laws and regulations and the resulting determination of whether certain tax positions are more likely than not of being sustained upon examination, considering the specific facts and circumstances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performing an assessment of certain tax positions and comparing the results to the Company’s assessment.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2004.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897"/>
        <w:gridCol w:w="2507"/>
        <w:gridCol w:w="2525"/>
        <w:gridCol w:w="196"/>
        <w:gridCol w:w="646"/>
        <w:gridCol w:w="109"/>
        <w:gridCol w:w="109"/>
        <w:gridCol w:w="109"/>
        <w:gridCol w:w="109"/>
        <w:gridCol w:w="196"/>
        <w:gridCol w:w="646"/>
        <w:gridCol w:w="156"/>
      </w:tblGrid>
      <w:tr>
        <w:trPr/>
        <w:tc>
          <w:tcPr>
            <w:tcW w:w="289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Trade receivables, net of allowance for credit losses of $24 and $35,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and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payables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excluding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 stockholders’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200 shares authorized, none issued and outstanding as of December 31, 2025 and 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750 shares authorized, 636 and 633 shares issued as of</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December 31, 2025 and 2024,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 retained earnings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earnings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$0.01 par value, 122 and 102 common shares as of December 31, 2025 and 2024, respectively, at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FIS stockholders’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323"/>
        <w:gridCol w:w="2044"/>
        <w:gridCol w:w="2048"/>
        <w:gridCol w:w="211"/>
        <w:gridCol w:w="721"/>
        <w:gridCol w:w="109"/>
        <w:gridCol w:w="109"/>
        <w:gridCol w:w="109"/>
        <w:gridCol w:w="109"/>
        <w:gridCol w:w="211"/>
        <w:gridCol w:w="721"/>
        <w:gridCol w:w="109"/>
        <w:gridCol w:w="109"/>
        <w:gridCol w:w="109"/>
        <w:gridCol w:w="109"/>
        <w:gridCol w:w="211"/>
        <w:gridCol w:w="687"/>
        <w:gridCol w:w="156"/>
      </w:tblGrid>
      <w:tr>
        <w:trPr/>
        <w:tc>
          <w:tcPr>
            <w:tcW w:w="2323"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 and equity method investment earnings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noncontrolling interest from </w:t>
              <w:br/>
              <w:t>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noncontrolling interest from </w:t>
              <w:br/>
              <w:t>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FIS: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(loss) per common share attributable to FIS: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common share attributable to FIS: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or calculate due to rounding.</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393"/>
        <w:gridCol w:w="2075"/>
        <w:gridCol w:w="1997"/>
        <w:gridCol w:w="109"/>
        <w:gridCol w:w="109"/>
        <w:gridCol w:w="109"/>
        <w:gridCol w:w="211"/>
        <w:gridCol w:w="466"/>
        <w:gridCol w:w="109"/>
        <w:gridCol w:w="109"/>
        <w:gridCol w:w="109"/>
        <w:gridCol w:w="109"/>
        <w:gridCol w:w="211"/>
        <w:gridCol w:w="616"/>
        <w:gridCol w:w="109"/>
        <w:gridCol w:w="109"/>
        <w:gridCol w:w="109"/>
        <w:gridCol w:w="109"/>
        <w:gridCol w:w="211"/>
        <w:gridCol w:w="670"/>
        <w:gridCol w:w="156"/>
      </w:tblGrid>
      <w:tr>
        <w:trPr/>
        <w:tc>
          <w:tcPr>
            <w:tcW w:w="239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Excluded components of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adjustments to net earnings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equity method investment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 benefit related to items of other 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earnings (loss) attributable to FIS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2481" w:type="dxa"/>
        <w:jc w:val="left"/>
        <w:tblInd w:w="0" w:type="dxa"/>
        <w:tblLayout w:type="fixed"/>
        <w:tblCellMar>
          <w:top w:w="28" w:type="dxa"/>
          <w:left w:w="28" w:type="dxa"/>
          <w:bottom w:w="28" w:type="dxa"/>
          <w:right w:w="28" w:type="dxa"/>
        </w:tblCellMar>
      </w:tblPr>
      <w:tblGrid>
        <w:gridCol w:w="682"/>
        <w:gridCol w:w="244"/>
        <w:gridCol w:w="245"/>
        <w:gridCol w:w="255"/>
        <w:gridCol w:w="255"/>
        <w:gridCol w:w="256"/>
        <w:gridCol w:w="109"/>
        <w:gridCol w:w="109"/>
        <w:gridCol w:w="109"/>
        <w:gridCol w:w="255"/>
        <w:gridCol w:w="255"/>
        <w:gridCol w:w="256"/>
        <w:gridCol w:w="109"/>
        <w:gridCol w:w="109"/>
        <w:gridCol w:w="109"/>
        <w:gridCol w:w="274"/>
        <w:gridCol w:w="338"/>
        <w:gridCol w:w="154"/>
        <w:gridCol w:w="109"/>
        <w:gridCol w:w="109"/>
        <w:gridCol w:w="109"/>
        <w:gridCol w:w="196"/>
        <w:gridCol w:w="646"/>
        <w:gridCol w:w="109"/>
        <w:gridCol w:w="109"/>
        <w:gridCol w:w="109"/>
        <w:gridCol w:w="109"/>
        <w:gridCol w:w="225"/>
        <w:gridCol w:w="760"/>
        <w:gridCol w:w="126"/>
        <w:gridCol w:w="109"/>
        <w:gridCol w:w="109"/>
        <w:gridCol w:w="109"/>
        <w:gridCol w:w="308"/>
        <w:gridCol w:w="688"/>
        <w:gridCol w:w="175"/>
        <w:gridCol w:w="109"/>
        <w:gridCol w:w="109"/>
        <w:gridCol w:w="109"/>
        <w:gridCol w:w="196"/>
        <w:gridCol w:w="661"/>
        <w:gridCol w:w="109"/>
        <w:gridCol w:w="109"/>
        <w:gridCol w:w="109"/>
        <w:gridCol w:w="109"/>
        <w:gridCol w:w="431"/>
        <w:gridCol w:w="530"/>
        <w:gridCol w:w="240"/>
        <w:gridCol w:w="109"/>
        <w:gridCol w:w="109"/>
        <w:gridCol w:w="109"/>
        <w:gridCol w:w="196"/>
        <w:gridCol w:w="64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2022</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shares held for taxes due upon exercise of stock awards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declared ($2.08 per share) and other distributions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earnings (loss), net of tax</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2023</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Exercise of stock options </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shares held for taxes due upon exercise of stock awards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declared ($1.44 per share) and other distributions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Worldpay noncontrolling interest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earnings (loss), net of tax</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shares held for taxes due upon exercise of stock awards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declared ($1.60 per share) and other distributions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Worldpay noncontrolling interest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earnings (loss), net of tax</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(22,718)</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 xml:space="preserve">(1)Excludes redeemable noncontrolling interest that is not considered equity. See Note 5, </w:t>
      </w:r>
      <w:r>
        <w:rPr>
          <w:rFonts w:ascii="Times New Roman;serif" w:hAnsi="Times New Roman;serif"/>
          <w:b w:val="false"/>
          <w:i/>
          <w:color w:val="000000"/>
          <w:sz w:val="16"/>
        </w:rPr>
        <w:t>Virtus Acquisition</w:t>
      </w:r>
      <w:r>
        <w:rPr>
          <w:rFonts w:ascii="Times New Roman;serif" w:hAnsi="Times New Roman;serif"/>
          <w:b w:val="false"/>
          <w:color w:val="000000"/>
          <w:sz w:val="16"/>
        </w:rPr>
        <w:t>, for additional information.</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FIDELITY NATIONAL INFORMATION SERVICES,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Years ended December 31, 2025, 2024 and 2023 (In millions)</w:t>
      </w:r>
    </w:p>
    <w:tbl>
      <w:tblPr>
        <w:tblW w:w="9834" w:type="dxa"/>
        <w:jc w:val="left"/>
        <w:tblInd w:w="0" w:type="dxa"/>
        <w:tblLayout w:type="fixed"/>
        <w:tblCellMar>
          <w:top w:w="28" w:type="dxa"/>
          <w:left w:w="28" w:type="dxa"/>
          <w:bottom w:w="28" w:type="dxa"/>
          <w:right w:w="28" w:type="dxa"/>
        </w:tblCellMar>
      </w:tblPr>
      <w:tblGrid>
        <w:gridCol w:w="2479"/>
        <w:gridCol w:w="2183"/>
        <w:gridCol w:w="2192"/>
        <w:gridCol w:w="199"/>
        <w:gridCol w:w="401"/>
        <w:gridCol w:w="109"/>
        <w:gridCol w:w="109"/>
        <w:gridCol w:w="109"/>
        <w:gridCol w:w="109"/>
        <w:gridCol w:w="181"/>
        <w:gridCol w:w="466"/>
        <w:gridCol w:w="109"/>
        <w:gridCol w:w="109"/>
        <w:gridCol w:w="109"/>
        <w:gridCol w:w="109"/>
        <w:gridCol w:w="181"/>
        <w:gridCol w:w="526"/>
        <w:gridCol w:w="154"/>
      </w:tblGrid>
      <w:tr>
        <w:trPr/>
        <w:tc>
          <w:tcPr>
            <w:tcW w:w="247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 from continuing operations:</w:t>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earnings (loss) from discontinued operations, net of tax</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 from continuing operations</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earnings (loss) from continuing operations to net cash provided by operating activities:</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 impairments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debt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on sale of businesses, investments and other</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from equity method investment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changes in assets and liabilities, net of effects from acquisitions and foreign currency:</w:t>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 and other receivables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Receivable from related party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activity</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assets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contract costs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 accrued liabilities, and other liabilities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 from continuing operations</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 from continuing operations:</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Additions to property and equipment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Additions to software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net of cash acquired</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proceeds from sale of businesses and investments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divested from sale of business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of net investment hedge cross-currency interest rate swaps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Coupon payments on interest rate swaps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from equity method investments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investing activities, net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investing activities</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 from continuing operations:</w:t>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 of borrowings and other financing arrangements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Debt issuance costs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proceeds from stock issued under stock-based compensation plans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activity</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paid</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noncontrolling interest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financing activities, net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discontinued operations:</w:t>
            </w:r>
          </w:p>
        </w:tc>
        <w:tc>
          <w:tcPr>
            <w:tcW w:w="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operating activities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investing activities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discontinued operations</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foreign currency exchange rate changes on cash from continuing operations</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foreign currency exchange rate changes on cash from discontinued operations</w:t>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cash, cash equivalents and restricted cash</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beginning of year</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end of year</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cash flow information:</w:t>
            </w:r>
          </w:p>
        </w:tc>
        <w:tc>
          <w:tcPr>
            <w:tcW w:w="7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 net of refunds</w:t>
            </w:r>
          </w:p>
        </w:tc>
        <w:tc>
          <w:tcPr>
            <w:tcW w:w="1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See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stated otherwise or the context otherwise requires, all references to "FIS," "we," "our," "us," the "Company" or the "registrant" are to Fidelity National Information Services, Inc., a Georgia corporation, and its subsidiaries.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(1)Organization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is a leading global provider of financial services technology solutions for financial institutions, businesses and developers. We improve the digital transformation of our financial economy, advancing the way the world pays, banks and invests.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the fiscal year 2023, the Company determined that the plan to dispose of Worldpay Merchant Solutions represented a strategic shift that would have a major impact on the Company's operations and financial results. As a result, the operating results of the Worldpay Merchant Solutions business prior to the closing of the 2024 Worldpay Sale, as well as subsequent adjustments for the resolution of related contingencies, have been reflected as discontinued operations and, as such, have been excluded from continuing operations and segment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31, 2024, the Company completed the sale (the "2024 Worldpay Sale") of a 55% equity interest in its Worldpay Merchant Solutions business to private equity funds managed by GTCR, LLC (such funds, the "Buyer"). FIS retained a non-controlling 45% equity interest in a new standalone joint venture, Worldpay Holdco, LLC ("Worldpay"), following the closing of the 2024 Worldpay Sale. FIS' share of the net income (loss) of Worldpay is reported as Equity method investment earnings (loss), net of tax, in the consolidated statements of earnings (loss). The cash proceeds received by FIS, net of closing adjustments and transaction costs, are presented as investing cash flows within continuing operations in the consolidated statement of cash flows. See Note 4 for information regarding the Equity method investment earnings (loss), net of tax, for the period from February 1, 2024, through December 31,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9, 2026, FIS completed its previously announced (i) acquisition of the Issuer Solutions business ("the "Issuer Solutions Business") from Global Payments Inc., ("Global Payments") ("the Issuer Solutions Acquisition") and (ii) sale of all of its equity interests in Worldpay (the "2026 Worldpay Minority Interest Sale"), pursuant to the transaction agreement (the "Transaction Agreement"), entered into on April 17, 2025, by and among FIS, Global Payments, Total System Services LLC, and Worldpay.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acquired the Issuer Solutions Business from Global Payments in exchange for FIS' minority interest in Worldpay and approximately $7.7 billion in cash, which is equal to the difference between the purchase price payable by FIS in respect of the Issuer Solutions Business and the purchase price payable by Global Payments in respect of FIS' minority interest in Worldpay. The cash payment amount is subject to customary post-closing adjustments in respect of the respective purchase price for each of Worldpay and the Issuer Solutions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purchase price paid by Global Payments in respect of Worldpay was based on a $24.25 billion enterprise valuation of Worldpay, and the purchase price paid by FIS in respect of the Issuer Solutions Business was based on a $13.5 billion enterprise valuation of the Issuer Solutions Business, in each case, subject to customary adjustments for the cash, debt and working capital (relative to a target) of Worldpay and the Issuer Solutions Business, respectively, as of the closing of the transactions. We funded the Issuer Solutions Acquisition through a combination of approximately $7.7 billion of new debt and the 2026 Worldpay Minority Interest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continued to account for our non-controlling 45% equity interest in Worldpay using the equity method of accounting through the closing date of the 2026 Worldpay Minority Interest Sale. Upon closing, we expect to recognize an estimated pre-tax gain of $2.2 billion based on the excess of the net selling price over the estimated carrying value of the Worldpay equity method investment as of the date of closing, adjusted for the impact of our share of Worldpay's cumulative translation adjustments recorded in accumulated other comprehensive earnings (loss). The estimated gain remains subject to change based on customary post-closing purchase price adjustments and final determination of these amounts, and the final gain could differ materially from the current estimate.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in tables in the financial statements and accompanying footnotes may not sum or calculate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(2)</w:t>
      </w:r>
      <w:r>
        <w:rPr>
          <w:rFonts w:ascii="Times New Roman;serif" w:hAnsi="Times New Roman;serif"/>
          <w:b/>
          <w:color w:val="000000"/>
          <w:sz w:val="20"/>
        </w:rPr>
        <w:t>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significant accounting policies of the Company used in preparing the accompanying consolidated financial statements.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w:t>
      </w:r>
      <w:r>
        <w:rPr>
          <w:rFonts w:ascii="Times New Roman;serif" w:hAnsi="Times New Roman;serif"/>
          <w:b/>
          <w:i/>
          <w:color w:val="000000"/>
          <w:sz w:val="20"/>
        </w:rPr>
        <w:t>Principles of Consolidation and Management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consolidated financial statements include the accounts of FIS, its wholly-owned subsidiaries and subsidiaries that are majority-owned.</w:t>
      </w:r>
      <w:r>
        <w:rPr>
          <w:color w:val="000000"/>
          <w:shd w:fill="FFFFFF" w:val="clear"/>
        </w:rPr>
        <w:t xml:space="preserve"> </w:t>
      </w:r>
      <w:r>
        <w:rPr>
          <w:rFonts w:ascii="Times New Roman;serif" w:hAnsi="Times New Roman;serif"/>
          <w:b w:val="false"/>
          <w:color w:val="000000"/>
          <w:sz w:val="20"/>
          <w:shd w:fill="FFFFFF" w:val="clear"/>
        </w:rPr>
        <w:t xml:space="preserve">Noncontrolling interests represent the minority shareholders’ share of the net earnings or loss and equity in consolidated subsidiaries. The Company’s noncontrolling interests presented in the consolidated statements of earnings (loss) includes net earnings (loss) attributable to noncontrolling interests. Noncontrolling interests are presented as a component of equity in the consolidated balance sheets. </w:t>
      </w:r>
      <w:r>
        <w:rPr>
          <w:rFonts w:ascii="Times New Roman;serif" w:hAnsi="Times New Roman;serif"/>
          <w:b w:val="false"/>
          <w:color w:val="000000"/>
          <w:sz w:val="20"/>
        </w:rPr>
        <w:t>All intercompany profits, transactions and balances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generally accepted accounting principles ("GAAP") and related rules and regulations of the U.S. Securities and Exchange Commission requires our management to make estimates, judgments and assumptions that affect the reported amounts of assets, liabilities, revenues and expenses, and the related disclosure of contingent assets and liabilities. These estimates may change as new events occur and additional information is obtained. Future actual results could differ materially from these estimates. To the extent that there are differences between these estimates, judgments and assumptions and actual results, our consolidated financial statements will be affected.</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(b)</w:t>
      </w:r>
      <w:r>
        <w:rPr>
          <w:rFonts w:ascii="Times New Roman;serif" w:hAnsi="Times New Roman;serif"/>
          <w:b/>
          <w:i/>
          <w:color w:val="000000"/>
          <w:sz w:val="20"/>
        </w:rPr>
        <w:t>Cash and Cash Equivalents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cash on hand, money market funds and other highly liquid investments with original maturities of three months or less to be cash and cash equivalents. As part of the Company's electronic funds transfer and network business, the Company provides cash settlement services to financial institutions and state and local governments. These services involve the movement of funds among the various parties associated with automated teller machines ("ATM") and point-of-sale or electronic benefit transactions ("EBT"). This activity results in a balance due to the Company at the end of each business day that it recoups over the next few business days. The net in-transit balances due to the Company are included in Cash and cash equivalents on the consolidated balance sheets. The carrying amounts reported in the consolidated balance sheets for these instruments approximate their 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restricted cash in captions other than Cash and cash equivalents in the consolidated balance sheets. The reconciliation between Cash and cash equivalents in the consolidated balance sheets and Cash, cash equivalents and restricted cash per the consolidated statements of cash flows is as follows (in millions):</w:t>
      </w:r>
    </w:p>
    <w:tbl>
      <w:tblPr>
        <w:tblW w:w="9773" w:type="dxa"/>
        <w:jc w:val="left"/>
        <w:tblInd w:w="0" w:type="dxa"/>
        <w:tblLayout w:type="fixed"/>
        <w:tblCellMar>
          <w:top w:w="28" w:type="dxa"/>
          <w:left w:w="28" w:type="dxa"/>
          <w:bottom w:w="28" w:type="dxa"/>
          <w:right w:w="28" w:type="dxa"/>
        </w:tblCellMar>
      </w:tblPr>
      <w:tblGrid>
        <w:gridCol w:w="2780"/>
        <w:gridCol w:w="2446"/>
        <w:gridCol w:w="2453"/>
        <w:gridCol w:w="211"/>
        <w:gridCol w:w="466"/>
        <w:gridCol w:w="109"/>
        <w:gridCol w:w="109"/>
        <w:gridCol w:w="109"/>
        <w:gridCol w:w="109"/>
        <w:gridCol w:w="211"/>
        <w:gridCol w:w="616"/>
        <w:gridCol w:w="154"/>
      </w:tblGrid>
      <w:tr>
        <w:trPr/>
        <w:tc>
          <w:tcPr>
            <w:tcW w:w="278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on the consolidated balance sheets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float from discontinued operations included in current assets held for sale (1)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discontinued operations included in current assets held for sale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per the consolidated statements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(1)Merchant float funds are considered restricted cash.</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(c)</w:t>
      </w:r>
      <w:r>
        <w:rPr>
          <w:rFonts w:ascii="Times New Roman;serif" w:hAnsi="Times New Roman;serif"/>
          <w:b/>
          <w:i/>
          <w:color w:val="000000"/>
          <w:sz w:val="20"/>
        </w:rPr>
        <w:t>Fair Value Measurements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 Hierarchy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authoritative accounting literature defines fair value, establishes a framework for measuring fair value, and establishes a fair value hierarchy based on the quality of inputs used to measure 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hierarchy includes three levels that are based on the priority of the inputs to the valuation technique. The fair value hierarchy gives the highest priority to quoted prices in active markets for identical assets or liabilities (Level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measurements) and the lowest priority to unobservable inputs (Level 3 measurements). If the inputs used to measure the fair value fall within different levels of the hierarchy, the categorization is based on the lowest level input that is significant to the fair value measurement of the asset or liability. The three levels of the fair value hierarchy are described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Level 1.</w:t>
      </w:r>
      <w:r>
        <w:rPr>
          <w:color w:val="000000"/>
        </w:rPr>
        <w:t> </w:t>
      </w:r>
      <w:r>
        <w:rPr>
          <w:rFonts w:ascii="Times New Roman;serif" w:hAnsi="Times New Roman;serif"/>
          <w:b w:val="false"/>
          <w:color w:val="000000"/>
          <w:sz w:val="20"/>
        </w:rPr>
        <w:t>Inputs to the valuation methodology are unadjusted quoted prices for identical assets or liabilities in active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Level 2.</w:t>
      </w:r>
      <w:r>
        <w:rPr>
          <w:color w:val="000000"/>
        </w:rPr>
        <w:t> </w:t>
      </w:r>
      <w:r>
        <w:rPr>
          <w:rFonts w:ascii="Times New Roman;serif" w:hAnsi="Times New Roman;serif"/>
          <w:b w:val="false"/>
          <w:color w:val="000000"/>
          <w:sz w:val="20"/>
        </w:rPr>
        <w:t>Inputs to the valuation methodology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Quoted prices for similar assets or liabilities in active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Quoted prices for identical or similar assets or liabilities in inactive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Inputs other than quoted prices that are observable for the asset or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Inputs that are derived principally from, or corroborated by, observable market data by correlation or other means.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asset or liability has a specified (contractual) term, the Level 2 input must be observable for substantially the full term of the asset or liability.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Level 3.</w:t>
      </w:r>
      <w:r>
        <w:rPr>
          <w:color w:val="000000"/>
        </w:rPr>
        <w:t> </w:t>
      </w:r>
      <w:r>
        <w:rPr>
          <w:rFonts w:ascii="Times New Roman;serif" w:hAnsi="Times New Roman;serif"/>
          <w:b w:val="false"/>
          <w:color w:val="000000"/>
          <w:sz w:val="20"/>
        </w:rPr>
        <w:t>Inputs to the valuation methodology are unobservable and significant to the fair value measurement. Unobservable inputs are inputs that reflect the reporting entity's own assumptions about the assumptions market participants would use in pricing the asset or liability developed based on the best information available in the circumstances.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Fair Value of Assets Acquired and Liabilities Assumed in Business Combinations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a business combination transaction, an acquirer recognizes, separately from goodwill, the identifiable assets acquired, liabilities assumed, and any noncontrolling interest in the acquiree and generally measures these items at their acquisition date fair values, except as otherwise required. Any portion of the purchase price in excess of the recorded amount of the net identifiable assets acquired is recognized as goodwill. Fair values are determined using the framework outlined above under </w:t>
      </w:r>
      <w:r>
        <w:rPr>
          <w:rFonts w:ascii="Times New Roman;serif" w:hAnsi="Times New Roman;serif"/>
          <w:b w:val="false"/>
          <w:i/>
          <w:color w:val="000000"/>
          <w:sz w:val="20"/>
        </w:rPr>
        <w:t xml:space="preserve">Fair Value Hierarchy </w:t>
      </w:r>
      <w:r>
        <w:rPr>
          <w:rFonts w:ascii="Times New Roman;serif" w:hAnsi="Times New Roman;serif"/>
          <w:b w:val="false"/>
          <w:color w:val="000000"/>
          <w:sz w:val="20"/>
        </w:rPr>
        <w:t xml:space="preserve">and the methodologies addressed in the individual subheadings. If the initial accounting for a business combination is incomplete by the end of the reporting period in which the combination occurs, we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also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are also adjusted for changes in fair value until settled.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The carrying amounts reported in the consolidated balance sheets for settlement assets and payables as well as short-term borrowings approximate their fair values because of their immediate or short-term maturities. The fair value of the Company's long-term debt is based on quoted prices of our senior notes and trades of our debt in close proximity to year end, which are considered Level 2-type measurements. The Company also holds, or has held, certain derivative instruments, specifically interest rate swaps, cross-currency interest rate swaps and foreign currency exchange forward contracts, which are also valued using Level 2-type measurements. These estimates are subjective in nature and involve uncertainties and significant judgment in the interpretation of current market data. The fair value of the contingent consideration from the 2024 Worldpay Sale, as discussed further in (d) </w:t>
      </w:r>
      <w:r>
        <w:rPr>
          <w:rFonts w:ascii="Times New Roman;serif" w:hAnsi="Times New Roman;serif"/>
          <w:b w:val="false"/>
          <w:i/>
          <w:color w:val="000000"/>
          <w:sz w:val="20"/>
        </w:rPr>
        <w:t>Derivative Financial Instruments</w:t>
      </w:r>
      <w:r>
        <w:rPr>
          <w:color w:val="000000"/>
        </w:rPr>
        <w:t xml:space="preserve"> </w:t>
      </w:r>
      <w:r>
        <w:rPr>
          <w:rFonts w:ascii="Times New Roman;serif" w:hAnsi="Times New Roman;serif"/>
          <w:b w:val="false"/>
          <w:color w:val="000000"/>
          <w:sz w:val="20"/>
        </w:rPr>
        <w:t>below, is based on unobservable inputs and assumptions with respect to the timing and level of returns that will be realized by the Buyer upon certain distribution events, which are considered Level 3-type measurements. As a result of these estimates, the value of financial instruments presented in the Company's consolidated financial statements may not necessarily be indicative of amounts the Company could realize or settle currently.</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(d)</w:t>
      </w:r>
      <w:r>
        <w:rPr>
          <w:rFonts w:ascii="Times New Roman;serif" w:hAnsi="Times New Roman;serif"/>
          <w:b/>
          <w:i/>
          <w:color w:val="000000"/>
          <w:sz w:val="20"/>
        </w:rPr>
        <w:t>Derivative Financial Instruments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derivatives to manage foreign currency and interest rate risk; the Company does not use derivatives for trading purposes, to generate income or to engage in speculative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all periods presented, the Company used cross-currency interest rate swaps to engage in hedging activities relating to changes in foreign currency exchange rates impacting its investment in certain foreign-currency-denominated operations. The Company designated these cross-currency interest rate swaps as net investment hedges. The Company also utilized foreign-currency-denominated debt as non-derivative net investment hedges. During 2023, the Company also began utilizing cross-currency interest rate swaps to engage in hedging activities relating to its exposure to foreign currency risk associated with its foreign currency-denominated debt. The Company designated these cross-currency interest rate swaps as fair value hedges.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quarter ended September 30, 2023, the Company used fixed-to-variable interest rate swaps to engage in hedging activities relating to changes in interest rates impacting the fair value of its fixed-rate long-term debt. The Company designated these interest rate swaps as fair value hedges. During the quarter ended September 30, 2023, the Company de-designated these interest rate swaps as fair value hedges and entered into offsetting variable-to-fixed interest rate swaps. The de-designated and new interest rate swaps are accounted for as economic hedges.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all periods presented, the Company used foreign currency forward contracts as economic hedges to reduce the foreign currency risk associated with payments due at maturity or extinguishment of the Company's foreign currency-denominated debt and cross-currency interest rate swaps.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pPr>
      <w:r>
        <w:rPr>
          <w:rFonts w:ascii="Times New Roman;serif" w:hAnsi="Times New Roman;serif"/>
          <w:b w:val="false"/>
          <w:color w:val="000000"/>
          <w:sz w:val="20"/>
        </w:rPr>
        <w:t xml:space="preserve">As part of the 2024 Worldpay Sale, the Company obtained the right to receive </w:t>
      </w:r>
      <w:r>
        <w:rPr>
          <w:rFonts w:ascii="Times New Roman;serif" w:hAnsi="Times New Roman;serif"/>
          <w:b w:val="false"/>
          <w:color w:val="212121"/>
          <w:sz w:val="20"/>
        </w:rPr>
        <w:t>$1.0 billion</w:t>
      </w:r>
      <w:r>
        <w:rPr>
          <w:color w:val="000000"/>
        </w:rPr>
        <w:t xml:space="preserve"> </w:t>
      </w:r>
      <w:r>
        <w:rPr>
          <w:rFonts w:ascii="Times New Roman;serif" w:hAnsi="Times New Roman;serif"/>
          <w:b w:val="false"/>
          <w:color w:val="000000"/>
          <w:sz w:val="20"/>
        </w:rPr>
        <w:t>of consideration contingent on the returns realized by the Buyer exceeding certain thresholds. The Company recognized this financial instrument as a derivative. As a result of the 2026 Worldpay Minority Interest Sale, Buyer’s returns will not exceed the thresholds necessary to earn this contingent consideration. See Note 15 for further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all derivatives, whether designated in accounting hedging relationships or not, on the consolidated balance sheets at fair value. The Company's derivative contracts are generally subject to master netting arrangements, which contain various netting and setoff provisions; however, the Company has elected to record derivative assets and liabilities on a gross basis in the accompanying consolidated balance sheets in Prepaid expenses and other current assets; Other noncurrent assets; Accounts payable, accrued and other liabilities; or Other noncurrent liabilities, as appropriate. See Notes 15 and 20 for additional details, including accounting policies.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(e)</w:t>
      </w:r>
      <w:r>
        <w:rPr>
          <w:rFonts w:ascii="Times New Roman;serif" w:hAnsi="Times New Roman;serif"/>
          <w:b/>
          <w:i/>
          <w:color w:val="000000"/>
          <w:sz w:val="20"/>
        </w:rPr>
        <w:t>Allowance for Credit Losses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monitors trade receivable balances and contract assets as well as other receivables and estimates the allowance for lifetime expected credit losses. Estimates of expected credit losses are based on historical collection experience and other factors, including those related to current market conditions and events, changes in client creditworthiness, client payment terms and collection trends.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(f)</w:t>
      </w:r>
      <w:r>
        <w:rPr>
          <w:rFonts w:ascii="Times New Roman;serif" w:hAnsi="Times New Roman;serif"/>
          <w:b/>
          <w:i/>
          <w:color w:val="000000"/>
          <w:sz w:val="20"/>
        </w:rPr>
        <w:t>Settlement Assets and Payables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the Company's settlement assets and payables on the consolidated balance sheets are as follows (in millions):</w:t>
      </w:r>
    </w:p>
    <w:tbl>
      <w:tblPr>
        <w:tblW w:w="4250" w:type="dxa"/>
        <w:jc w:val="left"/>
        <w:tblInd w:w="0" w:type="dxa"/>
        <w:tblLayout w:type="fixed"/>
        <w:tblCellMar>
          <w:top w:w="28" w:type="dxa"/>
          <w:left w:w="28" w:type="dxa"/>
          <w:bottom w:w="28" w:type="dxa"/>
          <w:right w:w="28" w:type="dxa"/>
        </w:tblCellMar>
      </w:tblPr>
      <w:tblGrid>
        <w:gridCol w:w="717"/>
        <w:gridCol w:w="629"/>
        <w:gridCol w:w="633"/>
        <w:gridCol w:w="109"/>
        <w:gridCol w:w="109"/>
        <w:gridCol w:w="109"/>
        <w:gridCol w:w="211"/>
        <w:gridCol w:w="466"/>
        <w:gridCol w:w="109"/>
        <w:gridCol w:w="109"/>
        <w:gridCol w:w="109"/>
        <w:gridCol w:w="109"/>
        <w:gridCol w:w="211"/>
        <w:gridCol w:w="46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Settlement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payment solutions that give rise to the settlement balances described below are separate and distinct from those settlement activities referred to under (b)</w:t>
      </w:r>
      <w:r>
        <w:rPr>
          <w:color w:val="000000"/>
        </w:rPr>
        <w:t xml:space="preserve"> </w:t>
      </w:r>
      <w:r>
        <w:rPr>
          <w:rFonts w:ascii="Times New Roman;serif" w:hAnsi="Times New Roman;serif"/>
          <w:b w:val="false"/>
          <w:i/>
          <w:color w:val="000000"/>
          <w:sz w:val="20"/>
        </w:rPr>
        <w:t>Cash and Cash Equivalents</w:t>
      </w:r>
      <w:r>
        <w:rPr>
          <w:rFonts w:ascii="Times New Roman;serif" w:hAnsi="Times New Roman;serif"/>
          <w:b w:val="false"/>
          <w:color w:val="000000"/>
          <w:sz w:val="20"/>
        </w:rPr>
        <w:t>, where the solutions we provide primarily facilitate the movement of funds.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certain payment solutions and programs and wealth management processes for our clients that require us to hold and manage client cash balances used to fund their daily settlement activity. Settlement deposits represent funds we hold that were drawn from our clients to facilitate settlement activities. Settlement receivables represent amounts funded by us. Settlement payables consist of settlement deposits from clients, settlement payables to third parties or clients, and outstanding checks related to our settlement activities for which the right of offset does not exist or we do not intend to exercise our right of offset. Our accounting policy for such outstanding checks is to include them in Settlement payables on the consolidated balance sheets and operating cash flows on the consolidated statements of cash flows.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(g)</w:t>
      </w:r>
      <w:r>
        <w:rPr>
          <w:rFonts w:ascii="Times New Roman;serif" w:hAnsi="Times New Roman;serif"/>
          <w:b/>
          <w:i/>
          <w:color w:val="000000"/>
          <w:sz w:val="20"/>
        </w:rPr>
        <w:t>Contract Related Balances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terms and conditions in our customer contracts may vary. In some cases, customers pay in advance of our delivery of solutions or services; in other cases, payment is due as services are performed or in arrears following the delivery of the solutions or services. Differences in timing between revenue recognition and invoicing result in accrued trade receivables, contract assets, or deferred revenue on our consolidated balance sheets. Trade receivables are accrued when revenue is recognized prior to invoicing but the right to payment is unconditional (i.e., only the passage of time is required). This occurs most commonly when software term licenses recognized at a point in time are paid for periodically over the license term. Contract assets result when amounts allocated to distinct performance obligations are recognized when or as control of a solution or service is transferred to the customer but invoicing is contingent on performance of other performance obligations or on completion of contractual milestones. Contract assets are transferred to trade receivables when the rights become unconditional, typically upon invoicing of the related performance obligations in the contract or upon achieving the requisite project milestone. Deferred revenue results from customer payments in advance of our satisfaction of the associated performance obligation(s) and relates primarily to prepaid maintenance or other recurring services. Deferred revenue is relieved as revenue is recognized. Contract assets and deferred revenue are reported on a contract-by-contract basis at the end of each reporting period. At December 31, 2025 and 2024, contract assets of $349 million and $220 million, respectively, are included in Prepaid expenses and other current assets and $233 million and $308 million, respectively are included in Other noncurrent assets on the consolidated balance sheets. Noncurrent deferred revenue is included in Other noncurrent liabilities as detailed in Note 13. Changes in the contract assets and deferred revenue balances for the years ended December 31, 2025 and 2024, were not materially impacted by any factors other than those described above. In some cases, signing bonuses are paid, or credits are offered, to customers in connection with the origination or renewal of customer contracts. These incentives are recorded as Other noncurrent assets on our consolidated balance sheets and amortized on a straight-line basis as a reduction of revenue over the lesser of the useful life of the solution or the expected customer relationship period for new contracts or over the contract period for renewal contracts.</w:t>
      </w:r>
    </w:p>
    <w:p>
      <w:pPr>
        <w:pStyle w:val="TextBody"/>
        <w:bidi w:val="0"/>
        <w:spacing w:lineRule="auto" w:line="288" w:before="0" w:after="0"/>
        <w:ind w:left="0" w:right="0" w:firstLine="360"/>
        <w:jc w:val="left"/>
        <w:rPr/>
      </w:pPr>
      <w:r>
        <w:rPr>
          <w:rFonts w:ascii="Times New Roman;serif" w:hAnsi="Times New Roman;serif"/>
          <w:b/>
          <w:color w:val="000000"/>
          <w:sz w:val="20"/>
        </w:rPr>
        <w:t>(h)</w:t>
      </w:r>
      <w:r>
        <w:rPr>
          <w:rFonts w:ascii="Times New Roman;serif" w:hAnsi="Times New Roman;serif"/>
          <w:b/>
          <w:i/>
          <w:color w:val="000000"/>
          <w:sz w:val="20"/>
        </w:rPr>
        <w:t>Goodwill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total consideration transferred in business combinations over the amount of the net identifiable assets acquired in accordance with the measurement guidance for such items. Goodwill is not amortized but is assessed for impairment by reporting unit. The Company assesses goodwill for impairment on an annual basis during the fourth quarter or more frequently if circumstances indicate potential impairment. An impairment charge is recognized when and to the extent a reporting unit's carrying amount is determined to exceed its estimated fair value. Our reporting units are the same as our primary operating segments, with additional reporting units for certain non-strategic businesses within the Corporate and Other segment.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the option to first assess qualitatively whether it is more likely than not that a reporting unit's carrying amount exceeds its estimated fair value. The option of whether to perform the qualitative assessment is made annually and may vary by reporting unit. Events and circumstances that are considered in performing the qualitative assessment include macroeconomic conditions, industry and market conditions, cost factors, overall financial performance, events affecting the reporting unit or Company as a whole, including a sustained decrease in stock price. When performing the qualitative assessment, we examine those factors most likely to affect each reporting unit's fair value. If we conclude that it is more likely than not that the reporting unit's fair value is less than its carrying amount (that is, a likelihood of more than 50 percent) as a result of the qualitative assessment, or we elect to bypass the qualitative assessment for a reporting unit, then we perform a quantitative assessment for that reporting unit.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applying the quantitative assessment, we typically engage third-party valuation specialists to assist us in determining the fair value of a reporting unit based on a weighted average of valuation techniques, a combination of an income approach and a market approach, which are Level 3-type measurements. The income approach calculates a value based upon the present value of estimated future cash flows, while the market approach uses earnings multiples of similarly situated guideline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companies. If the fair value of the reporting unit determined using the quantitative analysis exceeds the carrying amount of the reporting unit's net assets, goodwill is not impaired.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Both qualitative and quantitative assessments require a significant amount of management judgment involving the use of forecasts, estimates, and assumptions.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(i)</w:t>
      </w:r>
      <w:r>
        <w:rPr>
          <w:rFonts w:ascii="Times New Roman;serif" w:hAnsi="Times New Roman;serif"/>
          <w:b/>
          <w:i/>
          <w:color w:val="000000"/>
          <w:sz w:val="20"/>
        </w:rPr>
        <w:t>Impairment of Long-Lived Assets and Intangible Assets with Finite Useful Lives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and intangible assets with finite useful lives are reviewed for impairment whenever events or changes in circumstances indicate that the carrying amount of an asset may not be recoverable. Recoverability of assets to be held and used is measured by comparison of the carrying amount of an asset to estimated undiscounted future cash flows expected to be generated by the asset, which are Level 3-type measurements. If the carrying amount of an asset exceeds its estimated future cash flows, an impairment charge is recognized in the amount by which the carrying amount of the asset exceeds the fair value of the asset. There were no significant impairments of long-lived assets or intangible assets with finite useful lives during the years ended December 31, 2025, 2024 and 2023.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(j)</w:t>
      </w:r>
      <w:r>
        <w:rPr>
          <w:rFonts w:ascii="Times New Roman;serif" w:hAnsi="Times New Roman;serif"/>
          <w:b/>
          <w:i/>
          <w:color w:val="000000"/>
          <w:sz w:val="20"/>
        </w:rPr>
        <w:t>Intangible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intangible assets that consist primarily of customer relationships and trademarks (i.e., a collective term for trademarks, trade names, and related intellectual property rights) that are recorded in connection with acquisitions at their fair value based on the results of valuation analyses. Customer relationships and trademarks acquired in business combinations are generally valued using the multi-period excess earnings method and relief-from-royalty method, respectively, which are Level 3-type measurements. Customer relationships are amortized over their estimated useful lives using an accelerated method that takes into consideration expected customer attrition rates up to a 10-year period. Trademarks with finite lives are amortized over periods ranging up to 10 years. Intangible assets with finite lives are reviewed for impairment following the same approach as long-lived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(k)</w:t>
      </w:r>
      <w:r>
        <w:rPr>
          <w:rFonts w:ascii="Times New Roman;serif" w:hAnsi="Times New Roman;serif"/>
          <w:b/>
          <w:i/>
          <w:color w:val="000000"/>
          <w:sz w:val="20"/>
        </w:rPr>
        <w:t>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Software includes software acquired in business combinations, purchased software and capitalized software development costs. Software acquired in business combinations is generally valued using the relief-from-royalty method, a Level 3-type measurement. Purchased software is recorded at cost and amortized using the straight-line method over its estimated useful life, and software acquired in business combinations is recorded at its fair value and amortized using straight-line or accelerated methods over its estimated useful life, typically ranging from one to 10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capitalization of software development costs is based on whether the software is to be sold, leased or otherwise marketed, or if the software is for internal use. After the technological feasibility of the software has been established (for software to be marketed) or at the beginning of application development (for internal-use software), software development costs, which primarily include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Software development costs are amortized on a solution-by-solution basis commencing on the date of general release (for software to be marketed) or the date placed in service (for internal-use software). Software development costs for internal-use software are amortized using the straight-line method over its estimated useful life, which typically ranges from three to 10 years. Software development costs for software to be marketed are amortized using the greater of (1) the straight-line method over its estimated useful life, which typically ranges from three to 10 years, or (2) the ratio of current revenue to total anticipated revenue over its useful life.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software assets for impairment at each reporting date. For software to be marketed, an impairment charge is recorded to the extent the carrying amount exceeds the net realizable value. Internal-use software is reviewed for impairment following the same approach as long-lived assets. Determining net realizable values and future cash flows involves judgments and the use of estimates and assumptions regarding future economic and market conditions. Adverse changes in these conditions could result in an impairment charge which could be 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10 for software asset impairment losses recognized during the years ended December 31, 2025, 2024 and 2023, and incremental software amortization expense recognized during the year ended December 31, 2023.</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color w:val="000000"/>
          <w:sz w:val="20"/>
        </w:rPr>
        <w:t>(l)</w:t>
      </w:r>
      <w:r>
        <w:rPr>
          <w:rFonts w:ascii="Times New Roman;serif" w:hAnsi="Times New Roman;serif"/>
          <w:b/>
          <w:i/>
          <w:color w:val="000000"/>
          <w:sz w:val="20"/>
        </w:rPr>
        <w:t>Deferred Contract Costs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incurs costs as a result of both the origination and fulfillment of our contracts with customers. Origination costs relate primarily to the payment of sales commissions that are directly related to sales transactions. Fulfillment costs include the cost of implementation services related to software as a service ("SaaS") and other cloud-based arrangements when the implementation service is not distinct from the ongoing service. When origination costs and fulfillment costs that will be used to satisfy future performance obligations are directly related to the execution of our contracts with customers, and the costs are recoverable under the contract, the costs are capitalized as a deferred contract cost. Impairment losses are recognized if the carrying amounts of the deferred contract costs are not recoverable.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Origination costs for contracts that contain a distinct software license recognized at a point in time are allocated between the license and all other performance obligations of the contract and amortized according to the pattern of performance for the respective obligations. Otherwise, origination costs are capitalized as a single asset for each contract or portfolio of similar contracts and amortized using an appropriate single measure of performance considering all of the performance obligations in the contracts. The Company amortizes origination costs over the expected benefit period to which the deferred contract cost relates. Origination costs related to initial contracts with a customer are amortized over the lesser of the useful life of the solution or the expected customer relationship period. Commissions paid on renewals are amortized over the renewal period. Capitalized fulfillment costs are amortized over the lesser of the useful life of the solution or the expected customer relationship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11 for deferred contract cost incremental amortization expense recognized during the year ended December 31, 2023.</w:t>
      </w:r>
    </w:p>
    <w:p>
      <w:pPr>
        <w:pStyle w:val="TextBody"/>
        <w:bidi w:val="0"/>
        <w:spacing w:before="0" w:after="0"/>
        <w:ind w:left="0" w:right="0" w:firstLine="450"/>
        <w:jc w:val="left"/>
        <w:rPr/>
      </w:pPr>
      <w:r>
        <w:rPr/>
      </w:r>
    </w:p>
    <w:p>
      <w:pPr>
        <w:pStyle w:val="TextBody"/>
        <w:bidi w:val="0"/>
        <w:spacing w:lineRule="auto" w:line="288" w:before="0" w:after="0"/>
        <w:jc w:val="left"/>
        <w:rPr/>
      </w:pPr>
      <w:r>
        <w:rPr>
          <w:rFonts w:ascii="Times New Roman;serif" w:hAnsi="Times New Roman;serif"/>
          <w:b/>
          <w:color w:val="000000"/>
          <w:sz w:val="20"/>
        </w:rPr>
        <w:t>(m)</w:t>
      </w:r>
      <w:r>
        <w:rPr>
          <w:rFonts w:ascii="Times New Roman;serif" w:hAnsi="Times New Roman;serif"/>
          <w:b/>
          <w:i/>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is recorded at cost, less accumulated depreciation and amortization. Depreciation and amortization are computed primarily using the straight-line method based on the estimated useful lives of the related assets typically as follows: 30 years for buildings and three to seven years for furniture, fixtures and computer equipment. Leasehold improvements are amortized using the straight-line method over the lesser of the initial term of the applicable lease or the estimated useful lives of such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w:t>
      </w:r>
      <w:r>
        <w:rPr>
          <w:rFonts w:ascii="Times New Roman;serif" w:hAnsi="Times New Roman;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deferred income tax assets and liabilities for temporary differences between the financial reporting basis and the tax basis of the Company's assets and liabilities and expected benefits of using net operating loss ("NOL") and credit carryforwards. Deferred income tax assets and liabilities are measured using enacted tax rates expected to apply to taxable income in the years in which those temporary differences are expected to be recovered or settled. The impact on deferred income taxes of changes in tax rates and laws, if any, is reflected in the consolidated financial statements in the period enacted. A valuation allowance is established for any portion of a deferred income tax asset for which management believes it is more likely than not that the Company will not be able to realize the benefits of all or a portion of that deferred income tax asset. The Company has provided for residual income tax on unremitted earnings related to certain foreign subsidiaries based on the Company's cash management strategy including consideration of needs and uses as set forth in "Item 7. Management's Discussion and Analysis of Financial Condition and Results of Operations – Liquidity and Capital Resources." Certain of the Company's earnings are indefinitely reinvested offshore and could be subject to additional income tax if repatriated. It is not practicable to determine the unrecognized deferred tax liability on a hypothetical distribution of those earnings.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(o)</w:t>
      </w:r>
      <w:r>
        <w:rPr>
          <w:rFonts w:ascii="Times New Roman;serif" w:hAnsi="Times New Roman;serif"/>
          <w:b/>
          <w:i/>
          <w:color w:val="000000"/>
          <w:sz w:val="20"/>
        </w:rPr>
        <w:t>Operating 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 its property, primarily real estate, under operating leases. Operating lease right-of-use ("ROU") assets are included in Other noncurrent assets, and operating lease liabilities are included in Accounts payable, accrued and other liabilities and Other noncurrent liabilities on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fixed lease payments over the lease term. Operating lease ROU assets also include any prepaid lease payments and exclude lease incentives received. The Company uses an incremental borrowing rate based on information available at commencement date in determining the present value of lease payments. Lease term for accounting purposes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include options to extend (generally ranging from one to five years) or to terminate the lease when it is reasonably certain that the Company will exercise that option. For certain equipment leases, the Company applies a portfolio approach to effectively account for the operating lease ROU assets and liabilities. Lease agreements may include lease and related non-lease components, which are accounted for as a single lease component. Fixed costs included in the measurement of ROU assets are recognized as operating lease cost generally on a straight-line basis over the lease term. Certain leases require the Company to pay taxes, insurance, maintenance and other operating expenses associated with the leased asset. Such amounts are not included in the measurement of the ROU assets and lease liabilities to the extent they are variable in nature; instead, they are recognized as variable lease cost when incurred.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(p)</w:t>
      </w:r>
      <w:r>
        <w:rPr>
          <w:rFonts w:ascii="Times New Roman;serif" w:hAnsi="Times New Roman;serif"/>
          <w:b/>
          <w:i/>
          <w:color w:val="000000"/>
          <w:sz w:val="20"/>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in a number of ways, including from the delivery of account- or transaction-based processing, SaaS, business process as a service ("BPaaS"), cloud offerings, software licensing, software-related services and 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arrangements with customers to provide services, software and software-related services such as maintenance and implementation either individually or as part of an integrated offering. The Company assesses the solutions and services promised in its contracts with customers and identifies a performance obligation for each promise to transfer to the customer a solution or service (or bundle of solutions or services) that is distinct - i.e., if a solution or service is separately identifiable from other items in the bundled package and if a customer can benefit from it on its own or with other resources that are readily available to the customer. To identify its performance obligations, the Company considers all of the solutions or services promised in the contract regardless of whether they are explicitly stated or are implied by customary business practices. The Company recognizes revenue when or as it satisfies a performance obligation by transferring control of a solution or service to a customer.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is measured based on the consideration that the Company expects to receive in a contract with a customer. The Company's contracts with its customers frequently contain variable consideration. Variable consideration exists when the amount which the Company expects to receive in a contract is based on the occurrence or non-occurrence of future events, such as processing services performed under usage-based pricing arrangements or professional services billed on a time-and-materials basis. Variable consideration is also present in certain transactions in the form of discounts, credits, price concessions, penalties, and similar items. If the amount of a discount or rebate in a contract is fixed and not contingent, that discount or rebate is not variable consideration. The Company estimates variable consideration in its contracts primarily using the expected value method. In some contracts, the Company applies the most likely amount method by considering the single most likely amount in a limited range of possible consideration amounts. The Company develops estimates of variable consideration on the basis of both historical information and current trends. Variable consideration included in the transaction price is constrained such that a significant revenue reversal is not probable.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Taxes collected from customers and remitted to governmental authorities are not included in revenue. Postage fees associated with print and mail services are recognized gross of related expenses; postage costs are accounted for as a fulfillment cost and are included in cost of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or service components from third parties are frequently embedded in or combined with our applications or service offerings. We are often responsible for billing the client in these arrangements and transmitting the applicable fees to the third party. The Company determines whether it is responsible for providing the third-party solution or service as a principal or for arranging for the solution or service to be provided by the third party as an agent. Judgment is applied to determine whether we are the principal or the agent by evaluating whether the Company has control of the solution or service prior to it being transferred to the customer. The principal versus agent assessment is performed at the performance obligation level. Indicators that the Company considers in determining if it has control include whether the Company is primarily responsible for fulfilling the promise to provide the specified solution or service to the customer, the Company has inventory risk and the Company has discretion in establishing the price the customer ultimately pays for the solution or service. Depending upon the level of our contractual responsibilities and obligations for delivering solutions to end customers, we have arrangements where we are the principal and recognize the gross amount billed to the customer and other arrangements where we are the agent and recognize the net amount retained.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transaction price of a contract is allocated to each performance obligation in a manner depicting the amount of consideration to which the Company expects to be entitled in exchange for transferring the solution(s) or service(s) to the customer (the "allocation objective"). If the allocation objective is met at contractual prices, no allocation adjustments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prices are made. Otherwise, the Company reallocates the transaction price to each performance obligation identified in the contract on a relative standalone selling price basis, except when the criteria are met for allocating variable consideration to one or more, but not all, performance obligations in the contract. The Company allocates variable consideration to one or more, but not all, performance obligations when the terms of the variable payment relate specifically to the Company's efforts to satisfy the performance obligation (or transfer the distinct solution or service) and when such allocation is consistent with the allocation objective when considering all performance obligations in the contract. Determining whether the criteria for allocating variable consideration to one or more, but not all, performance obligations in the contract requires judgment and may affect the timing and amount of revenue recognized.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determine the standalone selling price of its promised solutions or services, the Company conducts a regular analysis to determine whether various solutions or services have an observable standalone selling price. If the Company does not have an observable standalone selling price for a particular solution or service, then the standalone selling price for that particular solution or service is estimated using all information that is reasonably available and maximizing observable inputs using approaches including historical pricing, cost plus a margin, adjusted market assessment, and a residual approach.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nature of the Company's primary types of revenue and the revenue recognition policies and significant payment terms as they pertain to the types of transactions the Company enters into with its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Services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 revenue is primarily comprised of payment processing, data processing, application management, and outsourced services, including our SaaS, BPaaS and cloud offerings. Transaction processing and services revenue is recurring and is typically volume or activity based depending on factors such as the number of payments, transactions, accounts or trades processed, number of users, number of hours of services or amount of computer resources used. Fees may include tiered pricing structures with the base tier representing a minimum monthly usage fee. Pricing within the tiers typically resets on a monthly basis, and minimum monthly volumes are generally met or exceeded. Contract lengths for processing services typically span one or more years; however, when distinct hosting services are offered, they are often cancelable without a significant penalty with 30-days' notice. Payment is generally due in advance or in arrears on a monthly or quarterly basis and may include fixed or variable payment amounts depending on the specific payment terms and activity in the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transaction processing and services contracts, the nature of the Company's promise to the customer is to stand ready to provide continuous access to the Company's processing platforms and perform an unspecified quantity of transaction processing and outsourced services for a specified term or terms. Accordingly, transaction processing and services are generally viewed as stand-ready performance obligations comprised of a series of distinct daily services. The Company typically satisfies its transaction processing and services performance obligations over time as the services are provided. A time-elapsed output method is used to measure progress because the Company's efforts are expended evenly throughout the period given the nature of the promise is a stand-ready service. The Company has evaluated its variable payment terms related to its transaction processing and services revenue accounted for as a series of distinct days of service and concluded that they generally meet the criteria for allocating variable consideration entirely to one or more, but not all, performance obligations in a contract. Accordingly, when the criteria are met, variable amounts based on the number and type of services performed during a period are allocated to, and recognized on, the day in which the Company performs the related services. Fixed fees for processing services are generally recognized ratably over the contract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 revenue also includes network, interchange, and other pass-through fees. Pass-through fees generally represent variable consideration and are allocated to, and recognized on, the day on which the related services are performed. Pass-through fees are billed monthly. Network and interchange fees are presented on a net basis; other pass through fees may be recorded on either a gross or a net basis depending on whether the Company is acting as a principal or an agent.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Software Maintenance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Software maintenance is comprised of technical support services and unspecified software updates and upgrades provided on a when-and-if-available basis. Software maintenance revenue is generally based on fixed fees. Payment terms are typically annually, quarterly, or monthly in advance. Contract terms vary and can span multiple years. The Company generally satisfies its maintenance-related performance obligations evenly using a time-elapsed output method over the contract term given there is no discernible pattern of performance.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Recurring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recurring revenue is comprised primarily of services provided by dedicated personnel resources who work full time at client sites and under the client's direction. Revenue from dedicated resource agreements is generally based on fixed monthly fees per resource. Payment terms are typically annually, quarterly, or monthly in advance. Contract terms vary and can span multiple years. The Company generally satisfies its dedicated resource obligations evenly using a time-elapsed output method over the contract term given there is no discernible pattern of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Software License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software licenses generally have significant stand-alone functionality to the customer upon delivery and are considered to be functional intellectual property. Additionally, the nature of the Company's promise in granting these software licenses to a customer is typically to provide the customer with a right to use the Company's intellectual property. The Company's software licenses are generally considered distinct performance obligations. Revenue allocated to software licenses is typically recognized at a point in time upon delivery of the license and is non-recurring. Contracts that contain software licenses often have non-standard terms that require significant judgments that may affect the amount and timing of revenue recognized.</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 software license requires frequent updates that are integral to maintaining the utility of the license to the customer, the Company combines the software license and the maintenance into a single performance obligation, and revenue for the combined performance obligation is recognized in Transaction processing and services revenue as the maintenance is provided, consistent with the treatment described for maintenance above. When a software license contract also includes professional services that provide significant modification or customization of the software license, the Company combines the software license and professional services into a single performance obligation, and revenue for the combined performance obligation is recognized as the professional services are provided, consistent with the methods described below for professional services revenue.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contracts where the licensed software is offered in conjunction with hosting services. The licensed software may be considered a separate performance obligation from the hosting services if the customer can take possession of the software during the contractual term without incurring a significant penalty and if it is feasible for the customer to run the software on its own infrastructure or hire a third party to host the software. If the licensed software and hosting services are separately identifiable, license revenue is recognized when the hosting services commence and it is within the customer's control to obtain a copy of the software. If the software license is not separately identifiable from the hosting service, then the related revenue for the combined performance obligation is recognized ratably over the hosting period and classified as processing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Occasionally, the Company offers extended payment terms on its license transactions; however, such transactions are generally not considered to have a significant financing component.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Professional Services Revenue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 is comprised of implementation, conversion, and programming services associated with the Company's data processing and application management agreements and implementation or installation services related to licensed software. Although this revenue is non-recurring in nature, it is generally recognized over time, with service durations spanning from several weeks to several years, depending on the scope and complexity of the work. Payment terms for professional services may be based on an upfront fixed fee, fixed upon the achievement of milestones, or on a time-and-materials basis.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assessing whether implementation services provided on data processing, application management or software agreements are a distinct performance obligation, the Company considers whether the services are both capable of being distinct (i.e., the customer can benefit from the services alone or in combination with other resources that are readily available to the customer) and distinct within the context of the contract (i.e., the services are separately identifiable from the other performance obligations in the contract). Implementation services and other professional services are typically considered distinct performance obligations. However, when these services involve significant customization or modification of an underlying solution or offering, or if the services are complex and not available from a third-party provider and must be completed prior to a customer having the ability to benefit from a solution or offering, then such services and the underlying solution or offering will be accounted for as a combined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professional services that are accounted for as distinct performance obligations and that are billed on a fixed fee basis are typically satisfied as services are rendered; thus, the Company uses a cost-based input method, such as cost-to-cost or efforts expended (labor hours), to provide a faithful depiction of the transfer of those services. For professional services that are distinct and billed on a time-and-materials basis, revenue is generally recognized using an output method that corresponds with the time and materials billed and delivered, which is reflective of the transfer of the services to the customer. Professional services that are not distinct from an associated solution or offering are recognized over the common measure of progress for the overall performance obligation (typically a time-elapsed output measure that corresponds to the period over which the solution or offering is made available to the customer).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Non-recurring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non-recurring revenue is comprised primarily of hardware, one-time card production, and early termination fees. The Company typically does not stock in inventory the hardware solutions sold but arranges for delivery of hardware from third-party suppliers. The Company determines whether hardware delivered from third-party suppliers should be recognized on a gross or net basis by evaluating whether the Company has control of the solution or service prior to it being transferred to the customer. Equipment and one-time card production revenue is generally recognized at a point in time upon delivery. Early contract terminations are treated as contract modifications. Early termination fees are added to a contract's transaction price once it becomes likely that liquidated damages will be charged to a customer, typically upon notification of early termination. Early termination fees are recognized over the remaining period of the related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Material Rights</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Company's contracts with customers include options for the customer to acquire additional, or renew existing, solutions or services in the future. Options may represent a material right to acquire solutions or services if the discount is incremental to the range of discounts typically given for those solutions or services to that class of customer in that geographical area or market and if the customer would not have obtained the option without entering into the contract. If deemed to be a material right, the Company will account for the material right as a separate performance obligation and determine the standalone selling price based on directly observable prices when available. If the standalone selling price is not directly observable, then the Company estimates the standalone selling price to be equal to the discount that the customer would obtain by exercising the option, as adjusted for any discount that the customer would receive without exercising the option and for the likelihood that the option will be exercised.</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(q)</w:t>
      </w:r>
      <w:r>
        <w:rPr>
          <w:rFonts w:ascii="Times New Roman;serif" w:hAnsi="Times New Roman;serif"/>
          <w:b/>
          <w:i/>
          <w:color w:val="000000"/>
          <w:sz w:val="20"/>
        </w:rPr>
        <w:t>Cost of Revenue and Selling, General and Administrative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costs directly associated with providing solutions or services to clients and includes payroll, employee benefits and other costs associated with personnel employed in customer service and service delivery roles as well as third-party costs involved in fulfillment of performance obligations for which the Company is acting as a principal. Cost of revenue also includes data processing costs, amortization of software, customer relationship and trademark intangible assets, and depreciation on operating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payroll, employee benefits and other costs associated with personnel employed in sales, marketing, human resources, finance, risk management and other administrative roles, as well as acquisition, integration and certain other costs that are not considered when management evaluates revenue-generating segment performance. Selling, general and administrative expenses also include depreciation on non-operating corporate assets as well as advertising and other marketing-related program costs.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(r)Equity Method Investment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investments in unconsolidated entities over whose operating and financial policies the Company has the ability to exercise significant influence, but not control, under the equity method of accounting. Equity method investments are initially recorded at cost and are included in Equity method investment on the consolidated balance sheet, and our share of the investee's earnings or losses is reported in Equity method investment earnings (loss), net of tax, in the consolidated statement of earnings (loss). Given Worldpay's capital structure under the terms of Limited Liability Company Operating Agreement ("LLCA"), which grants us a liquidation preference ahead of other unit holders, we apply the hypothetical liquidation book value ("HLBV") method to determine our share of the investee's earnings or losses because our liquidation rights and priorities differ from our underlying ownership interest. The HLBV method calculates the proceeds that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attributable to each investor based on the change, during the reporting period, of the amount of net assets to which each investor would be entitled under the liquidation provisions of the governing contractual arrangements if the investment were to be liquidated at book value, excluding any contributions or distributions during the reporting period. The Company also reports its investor-level tax impact relating to equity method investments as a component of Equity method investment earnings (loss) in the consolidated statement of earnings (loss). The carrying values of our equity method investments are adjusted for our equity method investment earnings (loss) before application of investor-level taxes and for our pro rata share of the investee's other comprehensive earnings (loss). The Company monitors its investments for other-than-temporary impairment by considering factors, such as current economic and market conditions and the operating performance of the investees and records reductions in carrying values when necessary. Equity method investees are considered related parties of the Company.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Distributions received from our equity method investments are recorded as reductions in the carrying value of such investments and are classified on the consolidated statement of cash flows pursuant to the cumulative earnings approach. Under this approach, the distributions should be classified as either a return on investment, which would be included in operating activities, or a return of investment, which would be included in investing activities. Any distributions received up to the amount of cumulative equity in earnings of the investee would be considered a return on investment and classified in operating activities. Any distributions in excess of cumulative equity in earnings of the investee would be considered a return of investment and classified in investing activities. Thus, to the extent our equity in earnings of the investee reflects cumulative losses, the distributions are considered a return of investment and classified in investing activities.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(s)</w:t>
      </w:r>
      <w:r>
        <w:rPr>
          <w:rFonts w:ascii="Times New Roman;serif" w:hAnsi="Times New Roman;serif"/>
          <w:b/>
          <w:i/>
          <w:color w:val="000000"/>
          <w:sz w:val="20"/>
        </w:rPr>
        <w:t>Stock-Based Compensation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stock-based compensation plans using the fair value method. Thus, compensation cost is measured based on the fair value of the award at the grant date and is recognized over the service period. For our service-based stock awards, we recognize the compensation cost on a straight-line basis over the award's service period, which is generally three years. For our performance-based stock awards with market conditions which typically cliff vest on the third anniversary date of the grant, we recognize the compensation cost on a straight-line basis over the service period when it is probable the outcome of that performance condition will be achieved. The Company adjusts the compensation expense over the service period based upon the expected achievement level of the applicable performance condition. Certain of our stock awards contain only market conditions. In those circumstances, compensation cost is recognized over the service period and is not reversed even if the award does not become exercisable in the event the market condition is not achieved. The Company estimates future forfeitures at the time of grant and revises those estimates in subsequent periods if actual forfeitures differ significantly from those estimates.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(t)</w:t>
      </w:r>
      <w:r>
        <w:rPr>
          <w:rFonts w:ascii="Times New Roman;serif" w:hAnsi="Times New Roman;serif"/>
          <w:b/>
          <w:i/>
          <w:color w:val="000000"/>
          <w:sz w:val="20"/>
        </w:rPr>
        <w:t>Foreign Currency Translation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functional currency is the U.S. dollar. The functional currency of each of our operating subsidiaries is generally the currency of the economic environment in which the subsidiary primarily does business. Our foreign subsidiaries with non-U.S. dollar functional currencies are translated into U.S. dollars for consolidation purposes using the foreign exchange rates applicable to the dates of the financial statements. Generally, these consist of the exchange rates in effect at the balance sheet date for balance sheet accounts and the average exchange rates in effect during the relevant period for revenue and expense accounts. The adjustments resulting from the translation are included in Accumulated other comprehensive earnings (loss) in the consolidated statements of equity and consolidated statements of comprehensive earnings (loss) and are excluded from net earnings.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Gains or losses resulting from measuring foreign currency transactions into the respective functional currency are included in Other income (expense), net in the consolidated statements of earnings (loss).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(u)</w:t>
      </w:r>
      <w:r>
        <w:rPr>
          <w:rFonts w:ascii="Times New Roman;serif" w:hAnsi="Times New Roman;serif"/>
          <w:b/>
          <w:i/>
          <w:color w:val="000000"/>
          <w:sz w:val="20"/>
        </w:rPr>
        <w:t>Net Earnings (Loss) per Share</w:t>
      </w:r>
    </w:p>
    <w:p>
      <w:pPr>
        <w:pStyle w:val="TextBody"/>
        <w:bidi w:val="0"/>
        <w:spacing w:before="0" w:after="0"/>
        <w:ind w:left="0" w:right="0" w:firstLine="360"/>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basic weighted average shares and common stock equivalents for the years ended December 31, 2025, 2024 and 2023, are computed using the treasury stock method.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earnings (loss) and earnings (loss) per share for the years ended December 31, 2025, 2024 and 2023, are as follows (in millions, except per share data):</w:t>
      </w:r>
    </w:p>
    <w:tbl>
      <w:tblPr>
        <w:tblW w:w="10205" w:type="dxa"/>
        <w:jc w:val="left"/>
        <w:tblInd w:w="0" w:type="dxa"/>
        <w:tblLayout w:type="fixed"/>
        <w:tblCellMar>
          <w:top w:w="28" w:type="dxa"/>
          <w:left w:w="28" w:type="dxa"/>
          <w:bottom w:w="28" w:type="dxa"/>
          <w:right w:w="28" w:type="dxa"/>
        </w:tblCellMar>
      </w:tblPr>
      <w:tblGrid>
        <w:gridCol w:w="2461"/>
        <w:gridCol w:w="2129"/>
        <w:gridCol w:w="2140"/>
        <w:gridCol w:w="211"/>
        <w:gridCol w:w="511"/>
        <w:gridCol w:w="109"/>
        <w:gridCol w:w="109"/>
        <w:gridCol w:w="109"/>
        <w:gridCol w:w="109"/>
        <w:gridCol w:w="211"/>
        <w:gridCol w:w="616"/>
        <w:gridCol w:w="109"/>
        <w:gridCol w:w="109"/>
        <w:gridCol w:w="109"/>
        <w:gridCol w:w="109"/>
        <w:gridCol w:w="211"/>
        <w:gridCol w:w="687"/>
        <w:gridCol w:w="156"/>
      </w:tblGrid>
      <w:tr>
        <w:trPr/>
        <w:tc>
          <w:tcPr>
            <w:tcW w:w="246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FIS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discontinued operations attributable to FIS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Common stock equivalent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outstanding-diluted</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share-basic from continuing operations attributable to FIS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per share-basic from discontinued operations attributable to FIS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share-basic attributable to FIS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share-diluted from continuing operations attributable to FIS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per share-diluted from discontinued operations attributable to FIS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share-diluted attributable to FIS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diluted net loss per share for the year ended December 31, 2023, did not include the effect of common stock equivalent shares of 2 million.</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Options to purchase approximately 5 million, 7 million and 8 million shares of our common stock for the years ended December 31, 2025, 2024 and 2023, respectively, were not included in the computation of diluted earnings (loss) per share because they were anti-dilutive.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(v)</w:t>
      </w:r>
      <w:r>
        <w:rPr>
          <w:rFonts w:ascii="Times New Roman;serif" w:hAnsi="Times New Roman;serif"/>
          <w:b/>
          <w:i/>
          <w:color w:val="000000"/>
          <w:sz w:val="20"/>
        </w:rPr>
        <w:t>Recent Accounting Guidance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Guidance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The ASU requires that an entity disclose specific categories in the effective tax rate reconciliation and provide additional information for reconciling items that meet a quantitative threshold. The ASU also introduces requirements for disaggregated disclosures of federal, state and foreign income tax expense and taxes paid. The amendments are effective for annual periods beginning after December 31, 2024, and should be applied prospectively, although retrospective application is permitted. The Company elected to adopt the amendments retrospectively for the annual period ending December 31, 2025, and expanded its disclosures around income taxes. See Note 17 for further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Guidance Not Yet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ASU requires disclosure of disaggregated information about specific categories underlying certain income statement expense line items. This guidance is effective for annual reporting periods beginning after December 15, 2026, and interim periods beginning after December 15, 2027. Early adoption is permitted and is effective on either a prospective basis or retrospective basis. The Company is currently evaluating the impact of adoption on our financial disclosures.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provides a practical expedient that allows entities to assume conditions existing as of the balance sheet date remain unchanged over the life of the asset when estimating credit losses for current trade receivables and current contract assets arising from transactions accounted for under Topic 606. The amendments are effective for annual reporting periods beginning after December 15, 2025, and for interim periods within those annual periods, with early adoption permitted. The amendments should be applied prospectively. The Company believes that adoption of this ASU will not have a material effect on the consolidated financial statements or related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This guidance updates requirements for capitalizing internal-use software costs by replacing the current stage-based model with a principles-based approach. Under the new ASU, capitalization of eligible software development costs begins when management has authorized and committed to funding the project and it is probable the project will be completed and used as intended. Entities must also consider whether significant uncertainty exists regarding the development activities. The amendments are effective for annual reporting periods beginning after December 15, 2027, including interim periods within those years. Early adoption is permitted. The amendments may be applied prospectively, on a modified retrospective basis for in-process projects, or retrospectively. The Company is currently evaluating the impact of this ASU on its consolidated financial statements and related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The ASU introduces targeted improvements intended to better align hedge accounting with an entity’s risk management activities, including expanded eligibility for certain hedging instruments, enhanced flexibility in designating hedged items, and clarifications for hedging strategies involving variable pricing and foreign currency risk. The amendments are effective for annual reporting periods beginning after December 15, 2026, and for interim periods within those annual periods, with early adoption permitted. The Company is currently evaluating the impact of adoption on our consolidated financial statements and related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The ASU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amendments are effective for annual reporting periods beginning after December 15, 2027, and interim periods within those annual periods. Early adoption is permitted and is effective on either a prospective basis or retrospective basis. The Company is currently evaluating the effects of this ASU on its consolidated financial statements and related disclosures.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(w)Certain Reclassifications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in the 2024 and 2023 consolidated financial statements to conform to the classifications used in 2025 as described below.</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revised the presentation of certain items within the consolidated statements of cash flows. Specifically, the Company reclassified Distributions from equity method investments to a separate line item within investing activities, which were previously included within other investing activities, net. This reclassification did not impact total cash flows from operating, investing, or financing activities. To conform to the current</w:t>
        <w:noBreakHyphen/>
        <w:t>year presentation, prior</w:t>
        <w:noBreakHyphen/>
        <w:t>period amounts have been reclassified where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elected to adopt ASU 2023-09 retrospectively for the annual period ending December 31, 2025, and updated the presentation of the reconciliation of the federal statutory income tax rate to the effective tax rate for all comparative periods presented. See Note 17.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Origination and fulfillment costs from contracts with customers as shown in Note 11 have been recategorized. Prior-period amounts were reclassified to conform to the current-year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color w:val="000000"/>
          <w:sz w:val="20"/>
        </w:rPr>
        <w:t>(3)</w:t>
      </w:r>
      <w:r>
        <w:rPr>
          <w:rFonts w:ascii="Times New Roman;serif" w:hAnsi="Times New Roman;serif"/>
          <w:b/>
          <w:color w:val="000000"/>
          <w:sz w:val="20"/>
        </w:rPr>
        <w:t>Discontinued Operations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2024 Sale of 55% Equity Interest in Worldpay Merchant Solutions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the Company completed the 2024 Worldpay Sale on January 31, 2024. The results of the Worldpay Merchant Solutions business prior to the closing of the 2024 Worldpay Sale, as well as subsequent adjustments for the resolution of related contingencies, have been presented as discontinued operations. There were no earnings (loss) from discontinued operations during the year ended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the major components of Earnings (loss) from discontinued operations, net of tax, presented in the consolidated statements of earnings (loss), reflecting activity for the years ended December 31, 2025, 2024 and 2023 (in millions). The Company's presentation of earnings (loss) from discontinued operations excludes general corporate overhead costs that were historically allocated to the Worldpay Merchant Solutions business. Additionally,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val="false"/>
          <w:color w:val="000000"/>
          <w:sz w:val="20"/>
        </w:rPr>
        <w:t xml:space="preserve">on July 5, 2023, the Company ceased amortization of long-lived assets held for sale in accordance with FASB ASC Topic 360, </w:t>
      </w:r>
      <w:r>
        <w:rPr>
          <w:rFonts w:ascii="Times New Roman;serif" w:hAnsi="Times New Roman;serif"/>
          <w:b w:val="false"/>
          <w:i/>
          <w:color w:val="000000"/>
          <w:sz w:val="20"/>
        </w:rPr>
        <w:t>Property, Plant and Equipment.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542"/>
        <w:gridCol w:w="2213"/>
        <w:gridCol w:w="2225"/>
        <w:gridCol w:w="211"/>
        <w:gridCol w:w="406"/>
        <w:gridCol w:w="109"/>
        <w:gridCol w:w="109"/>
        <w:gridCol w:w="109"/>
        <w:gridCol w:w="109"/>
        <w:gridCol w:w="214"/>
        <w:gridCol w:w="473"/>
        <w:gridCol w:w="109"/>
        <w:gridCol w:w="109"/>
        <w:gridCol w:w="109"/>
        <w:gridCol w:w="109"/>
        <w:gridCol w:w="211"/>
        <w:gridCol w:w="680"/>
        <w:gridCol w:w="158"/>
      </w:tblGrid>
      <w:tr>
        <w:trPr/>
        <w:tc>
          <w:tcPr>
            <w:tcW w:w="254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components of earnings (loss) from discontinued operations before income taxes: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related to major components of pre-tax earnings (loss)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disposal group</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 attributable to FIS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recorded a $1.9 billion loss on assets held for sale related to the Worldpay Merchant Solutions reporting unit to reduce its carrying value to its estimated fair value less estimated costs to sell, primarily as a result of the exclusion of certain deferred tax liabilities that were not expected to be transferred in the transaction. This amount was subsequently updated until the closing of the 2024 Worldpay Sale.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2024 Worldpay Sale, during the year ended December 31, 2024, we recorded a loss on sale of disposal group of $578 million, including the impact of post-closing adjustments. We also recorded a cumulative tax benefit of $1.1 billion in connection with the 2024 Worldpay Sale, primarily from the release of U.S. deferred tax liabilities that were not transferred in the 2024 Worldpay Sale, net of the estimated U.S. tax cost that the Company expects to incur as a result of the 2024 Worldpay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212121"/>
          <w:sz w:val="20"/>
        </w:rPr>
      </w:pPr>
      <w:r>
        <w:rPr>
          <w:rFonts w:ascii="Times New Roman;serif" w:hAnsi="Times New Roman;serif"/>
          <w:b w:val="false"/>
          <w:color w:val="212121"/>
          <w:sz w:val="20"/>
        </w:rPr>
        <w:t>Additionally, as part of the 2024 Worldpay Sale, the Company obtained the right to receive up to $1.0 billion of consideration contingent on the returns realized by the Buyer exceeding certain thresholds ("2024 Worldpay Sale contingent consideration"). The Company recognized this financial instrument as a derivative. As a result of the 2026 Worldpay Minority Interest Sale, Buyer’s returns will not exceed the thresholds necessary to earn this contingent consideration. See Note 15 for further information.</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(4)Equity Method Investment</w:t>
      </w:r>
    </w:p>
    <w:p>
      <w:pPr>
        <w:pStyle w:val="TextBody"/>
        <w:bidi w:val="0"/>
        <w:spacing w:before="0" w:after="0"/>
        <w:ind w:left="0" w:right="0" w:hanging="54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1, the Company completed the 2024 Worldpay Sale on January 31, 2024, retaining a non-controlling equity interest in Worldpay. We account for our 45% minority ownership in Worldpay using the equity method of accounting. Beginning on February 1, 2024, the Company's share of the net income of Worldpay and our investor-level tax impact is reported as Equity method investment earnings (loss), net of tax, in the consolidated statements of earnings (loss). During the years ended December 31, 2025, and 2024 we received distributions of $147 million and $47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also discussed in Note 1, on January 9, 2026, FIS completed its previously announced sale of its remaining equity interests in Worldpay for a pre-tax amount of $5.8 billion, net of transaction fees and other costs. We continued to account for our non-controlling 45% equity interest in Worldpay using the equity method of accounting through the closing date of the transactions. As a result of the 2026 Worldpay Minority Interest Sale, we expect to recognize an estimated pre-tax gain of $2.2 billion in the first quarter of 2026, representing the excess of the net selling price over the estimated carrying value of the Worldpay equity method investment as of the date of closing, adjusted for the impact of our share of Worldpay's cumulative translation adjustments recorded in accumulated other comprehensive earnings (loss). The estimated gain remains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based on customary post-closing purchase price adjustments and final determination of these amounts, and the final gain could differ materially from the current estimate.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Summary Worldpay financial information is as follows (in millions):</w:t>
      </w:r>
    </w:p>
    <w:tbl>
      <w:tblPr>
        <w:tblW w:w="9130" w:type="dxa"/>
        <w:jc w:val="left"/>
        <w:tblInd w:w="0" w:type="dxa"/>
        <w:tblLayout w:type="fixed"/>
        <w:tblCellMar>
          <w:top w:w="28" w:type="dxa"/>
          <w:left w:w="28" w:type="dxa"/>
          <w:bottom w:w="28" w:type="dxa"/>
          <w:right w:w="28" w:type="dxa"/>
        </w:tblCellMar>
      </w:tblPr>
      <w:tblGrid>
        <w:gridCol w:w="2086"/>
        <w:gridCol w:w="1835"/>
        <w:gridCol w:w="1838"/>
        <w:gridCol w:w="338"/>
        <w:gridCol w:w="987"/>
        <w:gridCol w:w="174"/>
        <w:gridCol w:w="109"/>
        <w:gridCol w:w="109"/>
        <w:gridCol w:w="109"/>
        <w:gridCol w:w="332"/>
        <w:gridCol w:w="971"/>
        <w:gridCol w:w="242"/>
      </w:tblGrid>
      <w:tr>
        <w:trPr/>
        <w:tc>
          <w:tcPr>
            <w:tcW w:w="208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Eleven months</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ended</w:t>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Statement of Earnings (Loss)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Worldpay</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 share of net earnings (loss) attributable to Worldpay, net of tax (1)</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the year ended December 31, 2025, and eleven months ended December 31, 2024, this amount is net of $(307) million and $67 million, respectively, of investor-level tax benefit (expense), as well as intra-entity eliminations for timing differences between the Company and Worldpay's recognition of profits and losses on related-party transactions. The investor-level tax for the year ended December 31, 2025, includes $383 million of expense related to an increase to our deferred tax liability. This remeasurement resulted from our agreement to sell our remaining interest in Worldpay, which constituted a change in our intent to hold the investment for the long term, as well as our best estimate of the ordinary versus capital characterization of the expected proceeds. In accordance with the provisions of ASC 740, the deferred tax liability recognized in connection with our Worldpay equity method investment reflects the difference between the investment's current book value and its tax basis. As discussed in Note 1, the 2026 Worldpay Minority Interest Sale was completed on January 9, 2026, and the tax due will be based on the excess of sales proceeds over the tax basis and a number of other factors, including the valuation of assets held in Worldpay, how the form of the transaction was effectuated and the final purchase price allocation. The continued assessment of these factors and their potential impact on the ordinary versus capital characterization of the expected proceeds could result in a material change to the realizability of the deferred tax assets for U.S. capital loss carryforwards and the final tax computed on the sale.</w:t>
      </w:r>
    </w:p>
    <w:p>
      <w:pPr>
        <w:pStyle w:val="TextBody"/>
        <w:bidi w:val="0"/>
        <w:spacing w:before="0" w:after="0"/>
        <w:ind w:left="0" w:right="0" w:hanging="360"/>
        <w:jc w:val="left"/>
        <w:rPr/>
      </w:pPr>
      <w:r>
        <w:rPr/>
      </w:r>
    </w:p>
    <w:tbl>
      <w:tblPr>
        <w:tblW w:w="4479" w:type="dxa"/>
        <w:jc w:val="left"/>
        <w:tblInd w:w="0" w:type="dxa"/>
        <w:tblLayout w:type="fixed"/>
        <w:tblCellMar>
          <w:top w:w="28" w:type="dxa"/>
          <w:left w:w="28" w:type="dxa"/>
          <w:bottom w:w="28" w:type="dxa"/>
          <w:right w:w="28" w:type="dxa"/>
        </w:tblCellMar>
      </w:tblPr>
      <w:tblGrid>
        <w:gridCol w:w="734"/>
        <w:gridCol w:w="643"/>
        <w:gridCol w:w="648"/>
        <w:gridCol w:w="211"/>
        <w:gridCol w:w="721"/>
        <w:gridCol w:w="109"/>
        <w:gridCol w:w="109"/>
        <w:gridCol w:w="109"/>
        <w:gridCol w:w="109"/>
        <w:gridCol w:w="211"/>
        <w:gridCol w:w="72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Involvement with Discontinued Operations and Related-Party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continuing involvement with Worldpay, primarily through our remaining interest, a transition services agreement ("TSA"), and various other commercial agreements. Under the terms of the TSA, the Company is procuring certain third-party services on behalf of Worldpay and providing technology infrastructure, risk and security, accounting and various other corporate services to Worldpay for a period of up to 24 months after January 31, 2024, subject to a six-month extension, and Worldpay is providing various corporate services to the Company, allowing us to maintain access to certain resources transferred in the 2024 Worldpay Sale. Effective upon the closing of the 2026 Worldpay Minority Interest Sale (the "Closing"), the TSA was amended to extend the term until June 30, 2027, subject to further extension for a period of up to 24 months following the Closing. Several of the commercial agreements between FIS and Worldpay were also amended to extend their services to Global Payments upon the Closing. The TSA and commercial agreement amendments also provide for certain annual purchase commitments.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pass-through costs of $63 million and $159 million, during the year ended December 31, 2025 and eleven months ended December 31, 2024, respectively, were incurred under the TSA, and were netted against the equal and offsetting reimbursement amounts due from Worldpay. Additionally, during the years ended December 31, 2025 and eleven months ended December 31, 2024, net TSA services income of $86 million and $142 million were recognized in Other operating (income) expense, net - related party, with approximately two-thirds of the corresponding expense recorded in Cost of revenue and the remainder recorded in Selling, general and administrative expense in the consolidated statements of earnings (loss). Revenue earned during the year ended December 31, 2025 and eleven months ended December 31, 2024, from various commercial services provided to Worldpay was $187 million and $140 million, respectively. Under our former short-term employee leasing agreement ("ELA") with Worldpay, there were no pass-through costs during the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and $247 million of pass-through costs were incurred and netted against the equal and offsetting reimbursement amounts due from Worldpay during the eleven months ended December 31, 2024,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and eleven months ended December 31, 2024, we collected net cash of $414 million and $704 million, respectively, related to the ELA, TSA and commercial agreements with Worldpay. As of December 31, 2025 and 2024, we recorded a receivable of $39 million and $84 million, respectively, in Receivable from related party on the consolidated balance sheet in connection with the TSA and commercial agreements. Under the TSA and commercial agreements, amounts are generally invoiced monthly in arrears and are payable by electronic transfer within 30 days of invoice. As of December 31, 2025 and 2024, we also recorded other payables to Worldpay of $24 million and $25 million, respectively, in Accounts payable, accrued and other liabilities on the consolidated balance sheet. These amounts are generally payable within 30 days.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2024 Worldpay Sale, the Company issued standby letters of credit and made parental guarantees (collectively "Guarantees") in the ordinary course of its business to various counterparties on behalf of certain former subsidiaries included in the 2024 Worldpay Sale, including a guarantee of a liability that a Worldpay subsidiary owes to the former owners of Worldpay Group plc (the "CVR Liability"). Effective upon the closing of the 2026 Worldpay Minority Interest Sale, FIS and Worldpay agreed to maintain these Guarantees through December 31, 2026, affording Worldpay time to arrange for alternatives to the Guarantees. Worldpay’s aggregate amount of borrowing capacity under the standby letters of credit guaranteed by FIS was $294 million and $273 million as of December 31, 2025 and 2024, respectively. As of December 31, 2025 and 2024, there were no amounts drawn under the standby letters of credit. As of December 31, 2025 and 2024, Worldpay’s CVR liability due on October 12, 2027, was $378 million. There is no limitation to the maximum potential future payments under the other remaining Guarantees, and such maximum potential amount of future payments under the other remaining Guarantees cannot be estimated due to the conditional nature of the Company's obligations and the unique facts and circumstances involved in each agreement. As of December 31, 2025, there are no amounts drawn under any of the Guarantees. In the event a Worldpay subsidiary were to default on a performance obligation covered by the Guarantees, the Company could be required to make payment or be subject to claims; however, in any such case, Worldpay is required under the terms of the agreement governing the 2024 Worldpay Sale to fully reimburse and indemnify the Company. The Company considers the likelihood of incurring a loss under the Guarantees to be remote, and no amounts have been accrued with respect to these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(5)</w:t>
      </w:r>
      <w:r>
        <w:rPr>
          <w:rFonts w:ascii="Times New Roman;serif" w:hAnsi="Times New Roman;serif"/>
          <w:b/>
          <w:color w:val="000000"/>
          <w:sz w:val="20"/>
          <w:shd w:fill="FFFFFF" w:val="clear"/>
        </w:rPr>
        <w:t>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Issuer Solutions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As discussed in Note 1, on January 9, 2026, FIS completed its previously announced acquisition of the Issuer Solutions Business from Global Payments by acquiring 100% of the Issuer Solutions Business equity pursuant to the Transaction Agreement. The Issuer Solutions Business, which was later rebranded as "FIS Total Issuing</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Solutions," is a global payments technology and financial services provider specializing in issuer processing and a wide range of payment solutions for financial institutions. The Issuer Solutions Acquisition is expected to strengthen FIS’ banking and capital markets solutions by complementing FIS' existing processing capabilities while also extending its suite of payment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set forth in the Transaction Agreement, FIS acquired the Issuer Solutions Business from Global Payments in exchange for FIS' $5.8 billion interest, net of taxes and other costs, in Worldpay and approximately $7.7 billion in cash. The cash payment amount is subject to customary post-closing adjustments in respect of the respective purchase price for each of Worldpay and the Issuer Solutions Business. FIS also converted certain outstanding Global Payments equity awards into corresponding equity awards with respect to shares of FIS common stock pursuant to an exchange ratio in the transaction agreement designed to maintain the intrinsic value of the applicable award immediately prior to conversion. FIS funded the cash portion of the transaction consideration through borrowings of $7.7 billion under senior unsecured term loans as part of the term facility entered into on May 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will account for the acquisition as a business combination and will recognize the assets acquired and liabilities assumed at their fair value as of January 9, 2026. Due to the timing of the acquisition being after our fiscal year-end, and the amount of assets acquired and liabilities assumed, our initial accounting is incomplete and the Company is not yet able to disclose the provisional amounts to be recognized as of the acquisition date for assets acquired and liabilities assumed and other disclosures. The Company expects to provide preliminary purchase price allocation information as part of FIS’ Form 10-Q for the quarter ending March 31, 2026.</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2025 Business Combinations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completed the acquisition of two businesses for total consideration, net of cash acquired, of $587 million, consisting of initial cash payments of $572 million, net of cash acquired, and $15 million in estimated fair value of contingent consideration. These acquisitions were recorded as business combinations. The results of operations and financial position of the acquisitions are included in the consolidated financial statements subsequent to the closing of each acquisition. We recorded an allocation of the purchase price to tangible and identifiable intangible assets acquired and liabilities assumed based on their fair values, consisting primarily of $163 million in customer relationships and $85 million in software assets. The Company also recorded $328 million of goodwill for the residual amount by which the purchase price exceeded the fair value of the net assets acquired. The purchase price allocations are provisional as of December 31, 2025, and the Company expects to finalize them as soon as practicable, but no later than one year from the respective acquisition dates.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2024 Business Combinations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completed acquisitions of three businesses for total cash consideration, net of cash acquired, of $515 million. These acquisitions were recorded as business combinations. The results of operations and financial position of the acquisitions are included in the consolidated financial statements subsequent to the closing of each acquisition. We recorded an allocation of the purchase price to tangible and identifiable intangible assets acquired and liabilities assumed based on their fair values, consisting primarily of $87 million of customer relationships and $139 million of software assets. The Company also recorded $359 million of goodwill for the residual amount by which the purchase price exceeded the fair value of the net assets acquired. There were no significant business combinations, individually or in the aggregate, completed during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Virtus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 2020, FIS acquired a majority interest in Virtus Partners ("Virtus"), previously a privately held company that provides high-value managed services and technology to the credit and loan market. The acquisition was accounted for as a business combination. FIS acquired a 70% voting and financial interest in Virtus with 30% interest retained by the founders of Virtus ("Founders"). The agreement between FIS and the Founders provided FIS with a call option to purchase, and the Founders with a put option requiring FIS to purchase, all of the Founders' retained interest in Virtus at a redemption value determined pursuant to performance goals stated in the agreement, exercisable at any time after two years and three years, respectively, following the acquisition date. In January 2023, the Founders exercised their put option, and as a result, FIS paid the $173 million redemption value, recorded as a financing activity in the consolidated statement of cash flows, and subsequently owns 100% of Virtus.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(6)</w:t>
      </w:r>
      <w:r>
        <w:rPr>
          <w:rFonts w:ascii="Times New Roman;serif" w:hAnsi="Times New Roman;serif"/>
          <w:b/>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following tables, revenue is disaggregated by primary geographical market and type of revenue. The tables also include a reconciliation of the disaggregated revenue with the Company's reportable segments.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(in millions):</w:t>
      </w:r>
    </w:p>
    <w:tbl>
      <w:tblPr>
        <w:tblW w:w="896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616"/>
        <w:gridCol w:w="109"/>
        <w:gridCol w:w="109"/>
        <w:gridCol w:w="109"/>
        <w:gridCol w:w="109"/>
        <w:gridCol w:w="445"/>
        <w:gridCol w:w="986"/>
        <w:gridCol w:w="233"/>
        <w:gridCol w:w="109"/>
        <w:gridCol w:w="109"/>
        <w:gridCol w:w="109"/>
        <w:gridCol w:w="211"/>
        <w:gridCol w:w="72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(in millions):</w:t>
      </w:r>
    </w:p>
    <w:tbl>
      <w:tblPr>
        <w:tblW w:w="8960"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616"/>
        <w:gridCol w:w="109"/>
        <w:gridCol w:w="109"/>
        <w:gridCol w:w="109"/>
        <w:gridCol w:w="109"/>
        <w:gridCol w:w="445"/>
        <w:gridCol w:w="986"/>
        <w:gridCol w:w="233"/>
        <w:gridCol w:w="109"/>
        <w:gridCol w:w="109"/>
        <w:gridCol w:w="109"/>
        <w:gridCol w:w="211"/>
        <w:gridCol w:w="72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(in millions):</w:t>
      </w:r>
    </w:p>
    <w:tbl>
      <w:tblPr>
        <w:tblW w:w="8855" w:type="dxa"/>
        <w:jc w:val="left"/>
        <w:tblInd w:w="0" w:type="dxa"/>
        <w:tblLayout w:type="fixed"/>
        <w:tblCellMar>
          <w:top w:w="28" w:type="dxa"/>
          <w:left w:w="28" w:type="dxa"/>
          <w:bottom w:w="28" w:type="dxa"/>
          <w:right w:w="28" w:type="dxa"/>
        </w:tblCellMar>
      </w:tblPr>
      <w:tblGrid>
        <w:gridCol w:w="1097"/>
        <w:gridCol w:w="964"/>
        <w:gridCol w:w="969"/>
        <w:gridCol w:w="109"/>
        <w:gridCol w:w="109"/>
        <w:gridCol w:w="109"/>
        <w:gridCol w:w="211"/>
        <w:gridCol w:w="616"/>
        <w:gridCol w:w="109"/>
        <w:gridCol w:w="109"/>
        <w:gridCol w:w="109"/>
        <w:gridCol w:w="109"/>
        <w:gridCol w:w="211"/>
        <w:gridCol w:w="616"/>
        <w:gridCol w:w="109"/>
        <w:gridCol w:w="109"/>
        <w:gridCol w:w="109"/>
        <w:gridCol w:w="109"/>
        <w:gridCol w:w="445"/>
        <w:gridCol w:w="986"/>
        <w:gridCol w:w="233"/>
        <w:gridCol w:w="109"/>
        <w:gridCol w:w="109"/>
        <w:gridCol w:w="109"/>
        <w:gridCol w:w="211"/>
        <w:gridCol w:w="61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Type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processing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Clients in the U.K., Germany, Australia, Switzerland, France, South Africa, the Netherlands and India accounted for the majority of the revenue from clients based outside of North America for all periods presented. No individual country outside of North America accounted for more than 10% of total revenue for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of approximately $761 million, $728 million and $677 million, during the years ended December 31, 2025, 2024 and 2023, respectively, that was included in the corresponding deferred revenue balance at the beginning of the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approximately $23.5 billion of revenue is estimated to be recognized in the future from the Company's remaining unfulfilled performance obligations, which are primarily comprised of recurring account- and volume-based processing services. This excludes the amount of anticipated recurring renewals not yet contractually obligated. The Company expects to recognize approximately 34% of our remaining performance obligations over the next 12 months, approximately another 25% over the next 13 to 24 months, and the balance thereafter.</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(7)</w:t>
      </w:r>
      <w:r>
        <w:rPr>
          <w:rFonts w:ascii="Times New Roman;serif" w:hAnsi="Times New Roman;serif"/>
          <w:b/>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as of December 31, 2025 and 2024, consist of the following (in millions):</w:t>
      </w:r>
    </w:p>
    <w:tbl>
      <w:tblPr>
        <w:tblW w:w="5659" w:type="dxa"/>
        <w:jc w:val="left"/>
        <w:tblInd w:w="0" w:type="dxa"/>
        <w:tblLayout w:type="fixed"/>
        <w:tblCellMar>
          <w:top w:w="28" w:type="dxa"/>
          <w:left w:w="28" w:type="dxa"/>
          <w:bottom w:w="28" w:type="dxa"/>
          <w:right w:w="28" w:type="dxa"/>
        </w:tblCellMar>
      </w:tblPr>
      <w:tblGrid>
        <w:gridCol w:w="1332"/>
        <w:gridCol w:w="1168"/>
        <w:gridCol w:w="1189"/>
        <w:gridCol w:w="215"/>
        <w:gridCol w:w="475"/>
        <w:gridCol w:w="109"/>
        <w:gridCol w:w="109"/>
        <w:gridCol w:w="109"/>
        <w:gridCol w:w="109"/>
        <w:gridCol w:w="215"/>
        <w:gridCol w:w="475"/>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entered into financing arrangements of $84 million, $29 million and $53 million, respectively, for certain hardware and software purchases. The assets are included in Property and equipment, net, and Software, net, and the financing arrangements are classified as Long-term debt, on our consolidated balance sheets. Periodic payments are included in Repayment of borrowings and other financing arrangements on the consolidated statements of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totaled $177 million, $175 million and $165 million for the years ended December 31, 2025, 2024 and 2023,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(8)</w:t>
      </w:r>
      <w:r>
        <w:rPr>
          <w:rFonts w:ascii="Times New Roman;serif" w:hAnsi="Times New Roman;serif"/>
          <w:b/>
          <w:color w:val="000000"/>
          <w:sz w:val="20"/>
        </w:rPr>
        <w:t>Goodwill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goodwill during the years ended December 31, 2025 and 2024, are summarized below (in millions).</w:t>
      </w:r>
    </w:p>
    <w:tbl>
      <w:tblPr>
        <w:tblW w:w="8828" w:type="dxa"/>
        <w:jc w:val="left"/>
        <w:tblInd w:w="0" w:type="dxa"/>
        <w:tblLayout w:type="fixed"/>
        <w:tblCellMar>
          <w:top w:w="28" w:type="dxa"/>
          <w:left w:w="28" w:type="dxa"/>
          <w:bottom w:w="28" w:type="dxa"/>
          <w:right w:w="28" w:type="dxa"/>
        </w:tblCellMar>
      </w:tblPr>
      <w:tblGrid>
        <w:gridCol w:w="1130"/>
        <w:gridCol w:w="993"/>
        <w:gridCol w:w="997"/>
        <w:gridCol w:w="211"/>
        <w:gridCol w:w="721"/>
        <w:gridCol w:w="109"/>
        <w:gridCol w:w="109"/>
        <w:gridCol w:w="109"/>
        <w:gridCol w:w="109"/>
        <w:gridCol w:w="211"/>
        <w:gridCol w:w="616"/>
        <w:gridCol w:w="109"/>
        <w:gridCol w:w="109"/>
        <w:gridCol w:w="109"/>
        <w:gridCol w:w="109"/>
        <w:gridCol w:w="514"/>
        <w:gridCol w:w="881"/>
        <w:gridCol w:w="269"/>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attributable to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attributable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our Banking and Capital Markets reporting units, we performed a qualitative annual assessment for 2023, 2024 and 2025 and concluded that it remained more likely than not that the fair values of these reporting units continued to exceed their respective carrying amounts. Given the substantial excess of fair value over carrying amounts, we believe the likelihood of obtaining materially different results based on a change of assumptions to be low.</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(9)</w:t>
      </w:r>
      <w:r>
        <w:rPr>
          <w:rFonts w:ascii="Times New Roman;serif" w:hAnsi="Times New Roman;serif"/>
          <w:b/>
          <w:color w:val="000000"/>
          <w:sz w:val="20"/>
        </w:rPr>
        <w:t>Intangible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as of December 31, 2025, consist of the following (in millions):</w:t>
      </w:r>
    </w:p>
    <w:tbl>
      <w:tblPr>
        <w:tblW w:w="5797" w:type="dxa"/>
        <w:jc w:val="left"/>
        <w:tblInd w:w="0" w:type="dxa"/>
        <w:tblLayout w:type="fixed"/>
        <w:tblCellMar>
          <w:top w:w="28" w:type="dxa"/>
          <w:left w:w="28" w:type="dxa"/>
          <w:bottom w:w="28" w:type="dxa"/>
          <w:right w:w="28" w:type="dxa"/>
        </w:tblCellMar>
      </w:tblPr>
      <w:tblGrid>
        <w:gridCol w:w="831"/>
        <w:gridCol w:w="731"/>
        <w:gridCol w:w="733"/>
        <w:gridCol w:w="211"/>
        <w:gridCol w:w="616"/>
        <w:gridCol w:w="109"/>
        <w:gridCol w:w="109"/>
        <w:gridCol w:w="109"/>
        <w:gridCol w:w="109"/>
        <w:gridCol w:w="239"/>
        <w:gridCol w:w="717"/>
        <w:gridCol w:w="125"/>
        <w:gridCol w:w="109"/>
        <w:gridCol w:w="109"/>
        <w:gridCol w:w="109"/>
        <w:gridCol w:w="211"/>
        <w:gridCol w:w="46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as of December 31, 2024, consist of the following (in millions):</w:t>
      </w:r>
    </w:p>
    <w:tbl>
      <w:tblPr>
        <w:tblW w:w="5947" w:type="dxa"/>
        <w:jc w:val="left"/>
        <w:tblInd w:w="0" w:type="dxa"/>
        <w:tblLayout w:type="fixed"/>
        <w:tblCellMar>
          <w:top w:w="28" w:type="dxa"/>
          <w:left w:w="28" w:type="dxa"/>
          <w:bottom w:w="28" w:type="dxa"/>
          <w:right w:w="28" w:type="dxa"/>
        </w:tblCellMar>
      </w:tblPr>
      <w:tblGrid>
        <w:gridCol w:w="831"/>
        <w:gridCol w:w="731"/>
        <w:gridCol w:w="733"/>
        <w:gridCol w:w="211"/>
        <w:gridCol w:w="616"/>
        <w:gridCol w:w="109"/>
        <w:gridCol w:w="109"/>
        <w:gridCol w:w="109"/>
        <w:gridCol w:w="109"/>
        <w:gridCol w:w="239"/>
        <w:gridCol w:w="717"/>
        <w:gridCol w:w="125"/>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decrease in cost and accumulated amortization of customer relationship intangible assets from the prior year was due to the completion of the amortization of assets acquired as part of the Company's 2015 SunGard acquisition and the subsequent removal of these fully amortized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with finite lives was $609 million, $641 million and $467 million for the years ended December 31, 2025, 2024 and 2023, respectively.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Estimated amortization of intangible assets for the next five years is as follows (in millions):</w:t>
      </w:r>
    </w:p>
    <w:tbl>
      <w:tblPr>
        <w:tblW w:w="1777" w:type="dxa"/>
        <w:jc w:val="left"/>
        <w:tblInd w:w="0" w:type="dxa"/>
        <w:tblLayout w:type="fixed"/>
        <w:tblCellMar>
          <w:top w:w="28" w:type="dxa"/>
          <w:left w:w="28" w:type="dxa"/>
          <w:bottom w:w="28" w:type="dxa"/>
          <w:right w:w="28" w:type="dxa"/>
        </w:tblCellMar>
      </w:tblPr>
      <w:tblGrid>
        <w:gridCol w:w="342"/>
        <w:gridCol w:w="300"/>
        <w:gridCol w:w="304"/>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(10)</w:t>
      </w:r>
      <w:r>
        <w:rPr>
          <w:rFonts w:ascii="Times New Roman;serif" w:hAnsi="Times New Roman;serif"/>
          <w:b/>
          <w:color w:val="000000"/>
          <w:sz w:val="20"/>
        </w:rPr>
        <w:t>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Software as of December 31, 2025 and 2024, consists of the following (in millions):</w:t>
      </w:r>
    </w:p>
    <w:tbl>
      <w:tblPr>
        <w:tblW w:w="5588" w:type="dxa"/>
        <w:jc w:val="left"/>
        <w:tblInd w:w="0" w:type="dxa"/>
        <w:tblLayout w:type="fixed"/>
        <w:tblCellMar>
          <w:top w:w="28" w:type="dxa"/>
          <w:left w:w="28" w:type="dxa"/>
          <w:bottom w:w="28" w:type="dxa"/>
          <w:right w:w="28" w:type="dxa"/>
        </w:tblCellMar>
      </w:tblPr>
      <w:tblGrid>
        <w:gridCol w:w="1211"/>
        <w:gridCol w:w="1065"/>
        <w:gridCol w:w="1068"/>
        <w:gridCol w:w="211"/>
        <w:gridCol w:w="616"/>
        <w:gridCol w:w="109"/>
        <w:gridCol w:w="109"/>
        <w:gridCol w:w="109"/>
        <w:gridCol w:w="109"/>
        <w:gridCol w:w="211"/>
        <w:gridCol w:w="61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from acquisitions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Software,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entered into long-term payment arrangements of $72 million, $158 million, and $28 million, respectively, for certain purchased software. The related long-term payment obligations are classified as Other noncurrent liabilities, with the current portion recorded in Accounts payable, accrued and other liabilities, on our consolidated balance sheets. Periodic payments are included in Other investing activities, net, on the consolidated statements of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there were no material software asset impairments. During the years ended December 31, 2024 and 2023, the Company recorded $19 million and $81 million, respectively, of software asset impairments. During the year ended December 31, 2023, the Company recorded $18 million of incremental software amortization expense driven by the Company's platform modernization. Platform modernization included sunsetting certain technology platforms, which resulted in shortened estimated useful lives and accelerated amortization methods primarily impacting the associated assets over an approximate three-year period, beginning in the third quarter of 2021.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for software was $699 million, $585 million and $588 million for the years ended December 31, 2025, 2024 and 2023,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(11)</w:t>
      </w:r>
      <w:r>
        <w:rPr>
          <w:rFonts w:ascii="Times New Roman;serif" w:hAnsi="Times New Roman;serif"/>
          <w:b/>
          <w:color w:val="000000"/>
          <w:sz w:val="20"/>
        </w:rPr>
        <w:t>Deferred Contract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Origination and fulfillment costs from contracts with customers capitalized as of December 31, 2025 and 2024, consists of the following (in millions):</w:t>
      </w:r>
    </w:p>
    <w:tbl>
      <w:tblPr>
        <w:tblW w:w="7028" w:type="dxa"/>
        <w:jc w:val="left"/>
        <w:tblInd w:w="0" w:type="dxa"/>
        <w:tblLayout w:type="fixed"/>
        <w:tblCellMar>
          <w:top w:w="28" w:type="dxa"/>
          <w:left w:w="28" w:type="dxa"/>
          <w:bottom w:w="28" w:type="dxa"/>
          <w:right w:w="28" w:type="dxa"/>
        </w:tblCellMar>
      </w:tblPr>
      <w:tblGrid>
        <w:gridCol w:w="1732"/>
        <w:gridCol w:w="1524"/>
        <w:gridCol w:w="1528"/>
        <w:gridCol w:w="211"/>
        <w:gridCol w:w="616"/>
        <w:gridCol w:w="109"/>
        <w:gridCol w:w="109"/>
        <w:gridCol w:w="109"/>
        <w:gridCol w:w="109"/>
        <w:gridCol w:w="211"/>
        <w:gridCol w:w="61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origination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fulfillment costs on implementations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fulfillment costs on completed implementations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costs,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amortization of deferred contract costs on completed implementations was $398 million, $336 million and $310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recorded $6 million of incremental amortization expense related to deferred contract costs driven by the Company's platform modernization.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(12)</w:t>
      </w:r>
      <w:r>
        <w:rPr>
          <w:rFonts w:ascii="Times New Roman;serif" w:hAnsi="Times New Roman;serif"/>
          <w:b/>
          <w:color w:val="000000"/>
          <w:sz w:val="20"/>
        </w:rPr>
        <w:t>Accounts Payable, Accrued and Other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 as of December 31, 2025 and 2024, consists of the following (in millions):</w:t>
      </w:r>
    </w:p>
    <w:tbl>
      <w:tblPr>
        <w:tblW w:w="6653" w:type="dxa"/>
        <w:jc w:val="left"/>
        <w:tblInd w:w="0" w:type="dxa"/>
        <w:tblLayout w:type="fixed"/>
        <w:tblCellMar>
          <w:top w:w="28" w:type="dxa"/>
          <w:left w:w="28" w:type="dxa"/>
          <w:bottom w:w="28" w:type="dxa"/>
          <w:right w:w="28" w:type="dxa"/>
        </w:tblCellMar>
      </w:tblPr>
      <w:tblGrid>
        <w:gridCol w:w="1597"/>
        <w:gridCol w:w="1404"/>
        <w:gridCol w:w="1408"/>
        <w:gridCol w:w="211"/>
        <w:gridCol w:w="616"/>
        <w:gridCol w:w="109"/>
        <w:gridCol w:w="109"/>
        <w:gridCol w:w="109"/>
        <w:gridCol w:w="109"/>
        <w:gridCol w:w="211"/>
        <w:gridCol w:w="616"/>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incentives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 and payroll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Related-party payables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accrued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(13)</w:t>
      </w:r>
      <w:r>
        <w:rPr>
          <w:rFonts w:ascii="Times New Roman;serif" w:hAnsi="Times New Roman;serif"/>
          <w:b/>
          <w:color w:val="000000"/>
          <w:sz w:val="20"/>
        </w:rPr>
        <w:t>Other Noncurrent Assets and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assets as of December 31, 2025 and 2024, consists of the following (in millions):</w:t>
      </w:r>
    </w:p>
    <w:tbl>
      <w:tblPr>
        <w:tblW w:w="6248" w:type="dxa"/>
        <w:jc w:val="left"/>
        <w:tblInd w:w="0" w:type="dxa"/>
        <w:tblLayout w:type="fixed"/>
        <w:tblCellMar>
          <w:top w:w="28" w:type="dxa"/>
          <w:left w:w="28" w:type="dxa"/>
          <w:bottom w:w="28" w:type="dxa"/>
          <w:right w:w="28" w:type="dxa"/>
        </w:tblCellMar>
      </w:tblPr>
      <w:tblGrid>
        <w:gridCol w:w="1450"/>
        <w:gridCol w:w="1275"/>
        <w:gridCol w:w="1279"/>
        <w:gridCol w:w="211"/>
        <w:gridCol w:w="616"/>
        <w:gridCol w:w="109"/>
        <w:gridCol w:w="109"/>
        <w:gridCol w:w="109"/>
        <w:gridCol w:w="109"/>
        <w:gridCol w:w="211"/>
        <w:gridCol w:w="61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accounts receivable and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inducements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as of December 31, 2025 and 2024, consists of the following (in millions):</w:t>
      </w:r>
    </w:p>
    <w:tbl>
      <w:tblPr>
        <w:tblW w:w="7029" w:type="dxa"/>
        <w:jc w:val="left"/>
        <w:tblInd w:w="0" w:type="dxa"/>
        <w:tblLayout w:type="fixed"/>
        <w:tblCellMar>
          <w:top w:w="28" w:type="dxa"/>
          <w:left w:w="28" w:type="dxa"/>
          <w:bottom w:w="28" w:type="dxa"/>
          <w:right w:w="28" w:type="dxa"/>
        </w:tblCellMar>
      </w:tblPr>
      <w:tblGrid>
        <w:gridCol w:w="1735"/>
        <w:gridCol w:w="1520"/>
        <w:gridCol w:w="1530"/>
        <w:gridCol w:w="211"/>
        <w:gridCol w:w="616"/>
        <w:gridCol w:w="109"/>
        <w:gridCol w:w="109"/>
        <w:gridCol w:w="109"/>
        <w:gridCol w:w="109"/>
        <w:gridCol w:w="211"/>
        <w:gridCol w:w="616"/>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 with long-term payment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(1)See Note 16 for information about operating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 Security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various equity securities without readily determinable fair values. These securities primarily represent strategic investments made by the Company as well as investments obtained through acquisitions. Such investments totaled $193 million and $191 million at December 31, 2025 and 2024, respectively, and are included within Other noncurrent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consolidated balance sheets. The Company accounts for these investments at cost, less impairment, and adjusts the carrying values for observable price changes from orderly transactions for identical or similar investments of the same issuer. These adjustments are generally considered Level 2-type fair value measurements. The Company records realized and unrealized gains and losses on these investments as well as impairment losses, as Other income (expense), net on the consolidated statements of earnings (loss) and recorded net (losses) gains of $(3) million, $(5) million and $(48) million for the years ended December 31, 2025, 2024 and 2023, respectively, related to these investments. The net loss recorded for the 2023 period primarily relates to impairments.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w:t>
      </w:r>
      <w:r>
        <w:rPr>
          <w:rFonts w:ascii="Times New Roman;serif" w:hAnsi="Times New Roman;serif"/>
          <w:b/>
          <w:color w:val="000000"/>
          <w:sz w:val="20"/>
        </w:rPr>
        <w:t>Debt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as of December 31, 2025 and 2024, consisted of the following (in millions):</w:t>
      </w:r>
    </w:p>
    <w:tbl>
      <w:tblPr>
        <w:tblW w:w="10205" w:type="dxa"/>
        <w:jc w:val="left"/>
        <w:tblInd w:w="0" w:type="dxa"/>
        <w:tblLayout w:type="fixed"/>
        <w:tblCellMar>
          <w:top w:w="28" w:type="dxa"/>
          <w:left w:w="28" w:type="dxa"/>
          <w:bottom w:w="28" w:type="dxa"/>
          <w:right w:w="28" w:type="dxa"/>
        </w:tblCellMar>
      </w:tblPr>
      <w:tblGrid>
        <w:gridCol w:w="1481"/>
        <w:gridCol w:w="1180"/>
        <w:gridCol w:w="1181"/>
        <w:gridCol w:w="109"/>
        <w:gridCol w:w="109"/>
        <w:gridCol w:w="109"/>
        <w:gridCol w:w="325"/>
        <w:gridCol w:w="325"/>
        <w:gridCol w:w="330"/>
        <w:gridCol w:w="109"/>
        <w:gridCol w:w="109"/>
        <w:gridCol w:w="109"/>
        <w:gridCol w:w="265"/>
        <w:gridCol w:w="265"/>
        <w:gridCol w:w="266"/>
        <w:gridCol w:w="109"/>
        <w:gridCol w:w="109"/>
        <w:gridCol w:w="109"/>
        <w:gridCol w:w="343"/>
        <w:gridCol w:w="343"/>
        <w:gridCol w:w="345"/>
        <w:gridCol w:w="109"/>
        <w:gridCol w:w="109"/>
        <w:gridCol w:w="109"/>
        <w:gridCol w:w="211"/>
        <w:gridCol w:w="616"/>
        <w:gridCol w:w="109"/>
        <w:gridCol w:w="109"/>
        <w:gridCol w:w="109"/>
        <w:gridCol w:w="109"/>
        <w:gridCol w:w="211"/>
        <w:gridCol w:w="616"/>
        <w:gridCol w:w="158"/>
      </w:tblGrid>
      <w:tr>
        <w:trPr/>
        <w:tc>
          <w:tcPr>
            <w:tcW w:w="148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Euro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GBP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Revolving Credit Facility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arrangements for certain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weighted average interest rate includes the impact of the fair value basis adjustments due to interest rate swaps and the impact of cross-currency interest rate swaps designated as fair value hedges and excludes the impact of cross-currency interest rate swaps designated as net investment hedges (see Note 15). The impact of the included fair value basis adjustments and cross-currency interest rate swaps in certain cases results in an effective weighted average interest rate being outside the stated interest rate range on the fixed rate notes.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(2)Interest on the Revolving Credit Facility is generally payable at Secured Overnight Financing Rate ("SOFR") plus an applicable margin of up to 1.625% and an unused commitment fee of up to 0.200%, each based upon the Company's corporate credit ratings. The weighted average interest rate on the Revolving Credit Facility excludes fees.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(3)Interest on the Incremental Revolving Credit Facility is generally payable at SOFR plus an applicable margin of up to 1.625% and an unused commitment fee of up to 0.200%, each based upon the Company's corporate credit ratings.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(4)Other includes the amount of fair value basis adjustments due to interest rate swaps (see further discussion below and in Note 15), unamortized debt issuance costs and unamortized non-cash bond discounts.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borrowings as of December 31, 2025 and 2024, consisted of the following (in millions):</w:t>
      </w:r>
    </w:p>
    <w:tbl>
      <w:tblPr>
        <w:tblW w:w="8751" w:type="dxa"/>
        <w:jc w:val="left"/>
        <w:tblInd w:w="0" w:type="dxa"/>
        <w:tblLayout w:type="fixed"/>
        <w:tblCellMar>
          <w:top w:w="28" w:type="dxa"/>
          <w:left w:w="28" w:type="dxa"/>
          <w:bottom w:w="28" w:type="dxa"/>
          <w:right w:w="28" w:type="dxa"/>
        </w:tblCellMar>
      </w:tblPr>
      <w:tblGrid>
        <w:gridCol w:w="1347"/>
        <w:gridCol w:w="1185"/>
        <w:gridCol w:w="1187"/>
        <w:gridCol w:w="203"/>
        <w:gridCol w:w="203"/>
        <w:gridCol w:w="442"/>
        <w:gridCol w:w="143"/>
        <w:gridCol w:w="143"/>
        <w:gridCol w:w="143"/>
        <w:gridCol w:w="444"/>
        <w:gridCol w:w="444"/>
        <w:gridCol w:w="446"/>
        <w:gridCol w:w="109"/>
        <w:gridCol w:w="109"/>
        <w:gridCol w:w="109"/>
        <w:gridCol w:w="211"/>
        <w:gridCol w:w="616"/>
        <w:gridCol w:w="109"/>
        <w:gridCol w:w="109"/>
        <w:gridCol w:w="109"/>
        <w:gridCol w:w="109"/>
        <w:gridCol w:w="211"/>
        <w:gridCol w:w="46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Euro-commercial paper notes ("ECP Notes")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183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 notes ("USCP Notes")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397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a party to interest rate swaps that, prior to de-designation as fair value hedges during the quarter ended September 30, 2023, converted a portion of its fixed-rate debt to variable-rate debt. As a result of the de-designations, the final fair value basis adjustments recorded through the dates of de-designation as a decrease of the long-term debt are subsequently amortized as interest expense using the effective interest method over the remaining periods to maturity of the respective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term debt. The fair value basis adjustments reflected in Other in the long-term debt table above totaled $(192) million and $(228) million as of December 31, 2025 and 2024, respectively.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party to fixed-for-fixed cross-currency interest rate swaps under which it agrees to receive interest in foreign currency in exchange for paying interest in U.S. dollars. These are designated as fair value hedges.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cross-currency interest rate swaps under which it agrees to receive interest in U.S. dollars in exchange for paying interest in a foreign currency. These are designated as net investment hedges. Although these cross-currency interest rate swaps are entered into as net investment hedges of its investments in certain of its non-U.S. subsidiaries, and not for the purpose of hedging interest rates, the benefit or cost of such hedges is reflected in interest expense in the consolidated statements of earnings (loss). As of December 31, 2025, the weighted average interest rate of the Company's outstanding debt was 3.8%, including the impact of fair value basis adjustments due to interest rate swaps and cross-currency interest rate swaps designated as fair value hedges but excluding the impact of cross-currency interest rate swaps designated as net investment hedges. Including the impact of the net investment hedge cross-currency interest rate swaps on interest expense, the weighted average interest rate of the Company's outstanding debt was 3.0%.</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15 for further discussion of the Company's interest rate swaps and cross-currency interest rate swaps and related hedge designations.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obligations of FIS under the revolving credit facilities, ECP Notes and USCP Notes, and all of its outstanding senior notes rank equal in priority and are unsecured.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our long-term debt, including financing obligations for certain hardware and software, as of December 31, 2025, based on maturity date.</w:t>
      </w:r>
    </w:p>
    <w:tbl>
      <w:tblPr>
        <w:tblW w:w="5030" w:type="dxa"/>
        <w:jc w:val="left"/>
        <w:tblInd w:w="0" w:type="dxa"/>
        <w:tblLayout w:type="fixed"/>
        <w:tblCellMar>
          <w:top w:w="28" w:type="dxa"/>
          <w:left w:w="28" w:type="dxa"/>
          <w:bottom w:w="28" w:type="dxa"/>
          <w:right w:w="28" w:type="dxa"/>
        </w:tblCellMar>
      </w:tblPr>
      <w:tblGrid>
        <w:gridCol w:w="1426"/>
        <w:gridCol w:w="1251"/>
        <w:gridCol w:w="1267"/>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per the long-term debt table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including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no mandatory principal payments on the revolving credit facilities and any balance outstanding on the revolving credit facilities will be due and payable at the revolving credit facilities' respective scheduled maturity dates, which occur on September 27, 2029, for the Revolving Credit Facility and June 15, 2027, for the Incremental Revolving Credit Facility.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may redeem the Senior USD Notes, Senior Euro Notes and Senior GBP Notes (collectively, the "Senior Notes") at its option in whole or in part, at any time and from time to time, at a redemption price equal to the greater of 100% of the principal amount to be redeemed and a make-whole amount calculated as described in the related indenture in each case plus accrued and unpaid interest to, but excluding, the date of redemption, provided no make-whole amount will be paid for redemptions of the Senior Notes during the period described in the related indenture (ranging from one to six months) prior to their maturity.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3, 2025, FIS repaid in full an aggregate principal amount of €625 million in its 0.625% Senior Euro Notes at maturity.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15, 2025, FIS repaid in full an aggregate principal amount of $287 million in its 4.500% Senior USD Notes at maturity.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7 and 8, 2024, pursuant to cash tender offers, FIS purchased and redeemed an aggregate principal amount of $1.5 billion in Senior USD Notes and an aggregate principal amount of £1.0 billion in Senior GBP Notes, with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ranging from 2.25% to 5.625% and maturities ranging from 2025 to 2052, resulting in a loss on extinguishment of debt of approximately $174 million, recorded in Other income (expense), net on the consolidated statement of earnings (loss), relating to tender discounts and fees; the write-off of unamortized bond discounts, debt issuance costs and fair value basis adjustments; and gains on related derivative instruments. The Company funded the purchase and redemption of the Senior Notes using a portion of the net proceeds from the 2024 Worldpay Sale.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Notes are subject to customary covenants, including, among others, customary events of default.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Commercial Paper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Euro commercial paper ("ECP") program and a U.S. commercial paper ("USCP") program for the issuance and sale of senior, unsecured commercial paper notes, up to a combined maximum aggregate amount outstanding at any time of $7.0 billion. Borrowings are limited to the available capacity under the revolving credit facilities, which backstop the commercial paper programs. The ECP and USCP programs are generally used for general corporate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2024, the Company repaid its ECP Notes and USCP Notes using a portion of the net proceeds from the 2024 Worldpay Sale before resuming borrowings during the third quarter of 2024.</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6, 2025, the Company amended its existing Revolving Credit Facility, increasing the total commitments from $4.5 billion to $6.0 billion. On November 6, 2025, FIS also entered into an Incremental Revolving Credit Facility that provides $1.0 billion in additional revolving credit commitments, with a scheduled maturity date of June 15, 2027. Proceeds from borrowings under this facility may be used for general corporate purposes, including working capital needs, repayment of existing indebtedness and to backstop the Company's commercial paper program. As of December 31, 2025, the borrowing capacity under the revolving credit facilities was approximately $4,056 million (net of $2,729 million of capacity backstopping our commercial paper notes and $215 million of Revolving Credit Facility outstanding balance).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and Incremental Revolving Credit Facility are subject to customary covenants restricting, among other things, the incurrence of indebtedness, certain restricted payments and use of proceeds as well as requiring us to maintain certain financial ratios.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monitor the financial stability of our counterparties on an ongoing basis. The lender commitments under the undrawn portion of the revolving credit facilities are comprised of a diversified set of financial institutions, both domestic and international. The failure of any single lender to perform its obligations under the revolving credit facilities would not adversely impact our ability to fund our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of Issuer Solutions Acquisition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17, 2025, we entered into a commitment letter (the "Bridge Commitment Letter") with Goldman Sachs Bank USA, Wells Fargo Bank, National Association and Wells Fargo Securities, LLC (the "Lenders") pursuant to which the Lenders committed to provide a 364-day senior unsecured bridge term loan facility in an aggregate principal amount of up to $8.0 billion, subject to customary conditions. On May 1, 2025, we entered into a credit agreement (the "Term Facility") with a group of lenders pursuant to which we can draw up to an aggregate principal amount of $8.0 billion of senior unsecured term loans to fund the Issuer Solutions Acquisition, subject to customary conditions. Upon entry into the Term Facility, all commitments under the Bridge Commitment Letter were reduced to $0 and the Bridge Commitment Letter was terminated in accordance with its terms. We funded the cash portion of the Issuer Solutions Acquisition by drawing $7.7 billion under the Term Facility on January 9, 2026. FIS expects to replace the Term Facility with new permanent financing in the form of senior notes to be issued based on market conditions. We expect our future cash paid for interest to increase from current levels as a result of financing the Issuer Solutions Acquisition.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long-term debt is estimated to be approximately $619 million and $806 million lower than the carrying value, excluding the fair value basis adjustments due to interest rate swaps and unamortized discounts, as of December 31, 2025 and 2024,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w:t>
      </w:r>
      <w:r>
        <w:rPr>
          <w:rFonts w:ascii="Times New Roman;serif" w:hAnsi="Times New Roman;serif"/>
          <w:b/>
          <w:color w:val="000000"/>
          <w:sz w:val="20"/>
        </w:rPr>
        <w:t>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Hedges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held fixed-to-variable interest rate swaps with aggregate notional amounts of $1,854 million and £925 million at both December 31, 2025 and 2024. Prior to the quarter ended September 30, 2023, these swaps were designated as fair value hedges for accounting purposes, converting the interest rate exposure on certain of the Company's Senior Notes, from fixed to variable. While designated as fair value hedges, changes in fair value of these interest rate swaps were recorded as an adjustment to long-term debt. During the quarter ended September 30, 2023, the Company de-designated these swaps as fair value hedges. As a result of the de-designations, the final fair value basis adjustments recorded through the dates of de-designation as a decrease of the long-term debt are subsequently amortized as interest expense using the effective interest method over the remaining periods to maturity of the respective long-term debt. During the quarter ended March 31, 2024, $316 million of unamortized fair value basis adjustments recorded as a decrease of the long-term debt tendered was written-off and recorded as part of the loss on extinguishment of debt (see Note 14). The remaining unamortized fair value basis adjustments recorded as a decrease of the long-term debt totaled $192 million and $228 million at December 31, 2025 and 2024, respectively. We amortized $36 million and $50 million of these balances as Interest expense during the years ended December 31, 2025 and 2024, respectively (see Note 14).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Concurrently with the de-designations described above, the Company entered into new offsetting variable-to-fixed interest rate swaps. The Company held variable-to-fixed interest rate swaps with aggregate notional amounts of $1,854 million and £925 million at both December 31, 2025 and 2024. The Company accounts for the de-designated fixed-to-variable and offsetting variable-to-fixed interest rate swaps as economic hedges; as such, effective as of the de-designation dates, changes in interest rates associated with the variable leg of the interest rate swaps do not affect the interest expense recognized, eliminating variable-rate risk on the fixed-to-variable interest rate swaps. The terms of the new interest rate swaps when matched against the terms of the existing fixed-to-variable interest rate swaps result in a net fixed coupon spread payable by the Company. The impact of the go-forward changes in fair values of the new and existing interest rate swaps, including the impact of the coupons, is recorded as Other income (expense), net pursuant to accounting for economic hedges and totaled $(51) million and $(22) million, for the years ended December 31, 2025 and 2024, respectively. The coupon payments are recorded within Cash flows from investing activities from continuing operations on the consolidated statements of cash flows and totaled $112 million and $122 million in cash outflows for the years ended December 31, 2025 and 2024, respectively. The new and existing interest rate swap fair values totaled assets of $15 million and $33 million and liabilities of $(517) million and $(595) million at December 31, 2025 and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2023, the Company entered into an aggregate notional amount of €3,375 million fixed-for-fixed cross-currency interest rate swaps to hedge its exposure to foreign currency risk associated with its Senior Euro Notes. During the quarter ended June 30, 2023, the Company entered into an aggregate notional amount of £925 million fixed-for-fixed cross-currency interest rate swaps to hedge its exposure to foreign currency risk associated with its Senior GBP Notes. These swaps are designated as fair value hedges for accounting purposes. During March 2024, the Company partially terminated certain fixed-for-fixed cross-currency interest rate swaps that were hedging foreign currency risk associated with its Senior GBP Notes that were partially tendered (see Note 14). After such partial termination, there remained an aggregate notional amount of approximately £170 million in fixed-for-fixed cross-currency interest rate swaps that hedge the Company's exposure to foreign currency risk associated with its Senior GBP Notes. The fair value of these swaps totaled assets of $278 million and $4 million and liabilities of $0 million and $(84) million at December 31, 2025 and 2024, respectively. Changes in the swap fair values attributable to changes in spot foreign currency exchange rates are recorded in Other income (expense), net and totaled $472 million and $(226) million for the years ended December 31, 2025 and 2024, respectively. This amount offset the impact of changes in spot foreign currency exchange rates on the Senior GBP Notes and Senior Euro Notes also recorded to Other income (expense), net during the hedge period. Changes in swap fair values attributable to excluded components, such as changes in fair value due to forward foreign currency exchange rates and cross-currency basis spreads, are recorded in Accumulated other comprehensive earnings (loss) ("AOCI"). The Company recorded $(115) million and $32 million for the years ended December 31, 2025 and 2024, respectively, through Other comprehensive earnings (loss) for the changes in swap fair values attributable to excluded components. The amounts recorded in AOCI generally affect net earnings (loss) through Interest expense using the amortization approach. The Company recognized Interest expense of $42 million and $46 million for the years ended December 31, 2025 and 2024, respectively, using the amortization approach. As a result of the partial terminations during March 2024, the Company received $33 million in net proceeds recorded within Other financing activities, net in the consolidated statement of cash flows and recorded a $19 million reduction to the loss on extinguishment of debt due to reclassifying the amount of AOCI related to the partially terminated hedges into earnings (see Note 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erif" w:hAnsi="Times New Roman;serif"/>
          <w:b/>
          <w:i/>
          <w:color w:val="000000"/>
          <w:sz w:val="20"/>
        </w:rPr>
        <w:t>Net Investment Hedges</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purpose of the Company's net investment hedges, as discussed below, is to reduce the volatility of FIS' net investment value in its Euro- and Pound Sterling-denominated operations due to changes in foreign currency exchange rates. Changes in fair value due to remeasurement of the effective portion are recorded as a component of AOCI for net investment hedges. The amounts included in AOCI for the net investment hedges will remain in AOCI until the complete or substantially complete liquidation of our investment in the underlying foreign operations. Any ineffective portion of these hedging instruments impacts net earnings when the ineffectiveness occurs. The Company assesses effectiveness of cross-currency interest rate swap hedging instruments using the spot method. Under this method, the periodic interest settlements are recorded directly in earnings through Interest expense (see Note 14).</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net investment hedge aggregate gain (loss) for the change in fair value and related income tax (expense) benefit within Other comprehensive earnings (loss), net of tax, in the consolidated statements of comprehensive earnings (loss) for its designated net investment hedges as follows (in millions). No ineffectiveness has been recorded on the net investment hedges.</w:t>
      </w:r>
    </w:p>
    <w:tbl>
      <w:tblPr>
        <w:tblW w:w="7643" w:type="dxa"/>
        <w:jc w:val="left"/>
        <w:tblInd w:w="0" w:type="dxa"/>
        <w:tblLayout w:type="fixed"/>
        <w:tblCellMar>
          <w:top w:w="28" w:type="dxa"/>
          <w:left w:w="28" w:type="dxa"/>
          <w:bottom w:w="28" w:type="dxa"/>
          <w:right w:w="28" w:type="dxa"/>
        </w:tblCellMar>
      </w:tblPr>
      <w:tblGrid>
        <w:gridCol w:w="1489"/>
        <w:gridCol w:w="1308"/>
        <w:gridCol w:w="1312"/>
        <w:gridCol w:w="109"/>
        <w:gridCol w:w="109"/>
        <w:gridCol w:w="109"/>
        <w:gridCol w:w="211"/>
        <w:gridCol w:w="541"/>
        <w:gridCol w:w="109"/>
        <w:gridCol w:w="109"/>
        <w:gridCol w:w="109"/>
        <w:gridCol w:w="109"/>
        <w:gridCol w:w="211"/>
        <w:gridCol w:w="466"/>
        <w:gridCol w:w="109"/>
        <w:gridCol w:w="109"/>
        <w:gridCol w:w="109"/>
        <w:gridCol w:w="109"/>
        <w:gridCol w:w="211"/>
        <w:gridCol w:w="5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debt designations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 designations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Foreign Currency-Denominated Debt Designations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Company has designated certain foreign currency-denominated debt as net investment hedges of its investment in Euro-denominated operations. An aggregate of €0 a</w:t>
      </w:r>
      <w:r>
        <w:rPr>
          <w:rFonts w:ascii="Times New Roman;serif" w:hAnsi="Times New Roman;serif"/>
          <w:b w:val="false"/>
          <w:color w:val="000000"/>
          <w:sz w:val="20"/>
          <w:shd w:fill="FFFFFF" w:val="clear"/>
        </w:rPr>
        <w:t>nd</w:t>
      </w:r>
      <w:r>
        <w:rPr>
          <w:color w:val="000000"/>
        </w:rPr>
        <w:t xml:space="preserve"> €</w:t>
      </w:r>
      <w:r>
        <w:rPr>
          <w:rFonts w:ascii="Times New Roman;serif" w:hAnsi="Times New Roman;serif"/>
          <w:b w:val="false"/>
          <w:color w:val="000000"/>
          <w:sz w:val="20"/>
        </w:rPr>
        <w:t>250 million of Senior Euro Notes with maturity in 2025 was designated as a net investment hedge of the Company's investment in Euro-denominated operations as of December 31, 2025 and 2024, respectively. An aggregate of €100 million of ECP Notes was also designated as a net investment hedge of the Company's investment in Euro-denominated operations as of December 31, 2025 and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held €0 and €375 million aggregate notional amount of foreign currency forward contracts as of December 31, 2025 and 2024, respectively, to economically hedge its exposure to foreign currency risk associated with Senior Euro Notes that were previously de-designated as net investment hedges. The foreign currency forward contract fair values totaled $0 and net liability of $(11) million at December 31, 2025 and 2024, respectively. Upon maturity of the forward contracts, the Company records the net proceeds paid or received within Other financing activities, net in the consolidated statement of cash flows. During the year ended December 31, 2025 and 2024, the Company received $36 million and $19 million, respectively, in net proceeds. The change in fair value of the foreign currency forward contracts is recorded as Other income (expense), net pursuant to accounting for economic hedges and offsets the impact of the change in spot foreign currency exchange rates on the de-designated Senior Euro Notes, which is also recorded as Other income (expense), net in the consolidated statements of earnings.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Cross-Currency Interest Rate Swap Designations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holds cross-currency interest rate swaps designated as net investment hedges of its investment in Euro- and Pound Sterling-denominated operations. As a result of the 2024 Worldpay Sale, the Company terminated its outstanding cross-currency interest rate swaps designated as net investment hedges of its investment in Pound Sterling-denominated operations on January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an aggregate notional amount of €6,045 million and €5,045 million, respectively, was designated as a net investment hedge of the Company's investment in Euro-denominated operations. The cross-currency interest rate swap fair values totaled assets of $5 million and $128 million and liabilities of $(490) million and $(12) million at December 31, 2025 and 2024,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(paid) received net proceeds of approximately $0 and $(8) million, respectively, for the fair values of the cross-currency interest rate swaps as of the settlement dates. The proceeds were recorded within investing activities in the consolidated statements of cash flows.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2024 Worldpay Sale Contingent Consideration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the 2024 Worldpay Sale, the Company obtained the right to receive up to $1.0 billion of consideration contingent on the returns realized by the Buyer exceeding certain thresholds. The Company recognized this financial instrument as a derivative at fair value when it recorded the 2024 Worldpay Sale transaction. Subsequent changes in fair value are recorded through Other income (expense), net in the consolidated statements of earnings (loss). The fair value of the contingent consideration from the 2024 Worldpay Sale is $0 and $108 million at December 31, 2025 and 2024, respectively, included in Other noncurrent assets on the consolidated balance sheet. As a result of the April 17, 2025, agreement to sell our remaining equity interest in Worldpay, it is no longer anticipated that Buyer’s returns will exceed the thresholds necessary to earn this contingent consideration. Accordingly, the Company recognized a $108 million non-cash loss in Other income (expense) for the change in fair value of the derivative during the second quarter of 2025. For the eleven-month period from February 1, 2024, through December 31, 2024, the Company recognized a gain of $37 million for the change in fair value of the derivative.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(16)</w:t>
      </w:r>
      <w:r>
        <w:rPr>
          <w:rFonts w:ascii="Times New Roman;serif" w:hAnsi="Times New Roman;serif"/>
          <w:b/>
          <w:color w:val="000000"/>
          <w:sz w:val="20"/>
        </w:rPr>
        <w:t>Operating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classification of the Company's operating lease ROU assets and liabilities in the consolidated balance sheets as of December 31, 2025 and 2024, is as follows (in millions):</w:t>
      </w:r>
    </w:p>
    <w:tbl>
      <w:tblPr>
        <w:tblW w:w="9168" w:type="dxa"/>
        <w:jc w:val="left"/>
        <w:tblInd w:w="0" w:type="dxa"/>
        <w:tblLayout w:type="fixed"/>
        <w:tblCellMar>
          <w:top w:w="28" w:type="dxa"/>
          <w:left w:w="28" w:type="dxa"/>
          <w:bottom w:w="28" w:type="dxa"/>
          <w:right w:w="28" w:type="dxa"/>
        </w:tblCellMar>
      </w:tblPr>
      <w:tblGrid>
        <w:gridCol w:w="961"/>
        <w:gridCol w:w="844"/>
        <w:gridCol w:w="850"/>
        <w:gridCol w:w="109"/>
        <w:gridCol w:w="109"/>
        <w:gridCol w:w="109"/>
        <w:gridCol w:w="1304"/>
        <w:gridCol w:w="1304"/>
        <w:gridCol w:w="1307"/>
        <w:gridCol w:w="109"/>
        <w:gridCol w:w="109"/>
        <w:gridCol w:w="109"/>
        <w:gridCol w:w="211"/>
        <w:gridCol w:w="466"/>
        <w:gridCol w:w="109"/>
        <w:gridCol w:w="109"/>
        <w:gridCol w:w="109"/>
        <w:gridCol w:w="109"/>
        <w:gridCol w:w="211"/>
        <w:gridCol w:w="46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cost was $77 million, $73 million and $90 million, and variable lease cost was $26 million, $27 million and $27 million for the years ended December 31, 2025, 2024 and 2023, respectively. There were no significant ROU asset impairment losses recognized during the years ended December 31, 2025, 2024 and 2023. Cash paid for amounts included in the measurement of operating lease liabilities included in operating cash flows was $84 million, $101 million and $106 million for the years ended December 31, 2025, 2024 and 2023, respectively. Operating lease ROU assets obtained in exchange for operating lease liabilities was $71 million and $89 million for the years ended December 31, 2025 and 2024, respectively. The weighted average remaining operating lease term was 5.7 years and 5.9 years and the weighted average operating lease discount rate was 4.2% and 3.9% as of December 31, 2025 and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December 31, 2025, are as follows (in millions):</w:t>
      </w:r>
    </w:p>
    <w:tbl>
      <w:tblPr>
        <w:tblW w:w="3812" w:type="dxa"/>
        <w:jc w:val="left"/>
        <w:tblInd w:w="0" w:type="dxa"/>
        <w:tblLayout w:type="fixed"/>
        <w:tblCellMar>
          <w:top w:w="28" w:type="dxa"/>
          <w:left w:w="28" w:type="dxa"/>
          <w:bottom w:w="28" w:type="dxa"/>
          <w:right w:w="28" w:type="dxa"/>
        </w:tblCellMar>
      </w:tblPr>
      <w:tblGrid>
        <w:gridCol w:w="959"/>
        <w:gridCol w:w="842"/>
        <w:gridCol w:w="853"/>
        <w:gridCol w:w="109"/>
        <w:gridCol w:w="109"/>
        <w:gridCol w:w="109"/>
        <w:gridCol w:w="211"/>
        <w:gridCol w:w="466"/>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(17)</w:t>
      </w:r>
      <w:r>
        <w:rPr>
          <w:rFonts w:ascii="Times New Roman;serif" w:hAnsi="Times New Roman;serif"/>
          <w:b/>
          <w:color w:val="000000"/>
          <w:sz w:val="20"/>
        </w:rPr>
        <w:t xml:space="preserve">Income Taxes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attributable to continuing operations for the years ended December 31, 2025, 2024 and 2023, consists of the following (in millions):</w:t>
      </w:r>
    </w:p>
    <w:tbl>
      <w:tblPr>
        <w:tblW w:w="5966" w:type="dxa"/>
        <w:jc w:val="left"/>
        <w:tblInd w:w="0" w:type="dxa"/>
        <w:tblLayout w:type="fixed"/>
        <w:tblCellMar>
          <w:top w:w="28" w:type="dxa"/>
          <w:left w:w="28" w:type="dxa"/>
          <w:bottom w:w="28" w:type="dxa"/>
          <w:right w:w="28" w:type="dxa"/>
        </w:tblCellMar>
      </w:tblPr>
      <w:tblGrid>
        <w:gridCol w:w="998"/>
        <w:gridCol w:w="879"/>
        <w:gridCol w:w="882"/>
        <w:gridCol w:w="211"/>
        <w:gridCol w:w="466"/>
        <w:gridCol w:w="109"/>
        <w:gridCol w:w="109"/>
        <w:gridCol w:w="109"/>
        <w:gridCol w:w="109"/>
        <w:gridCol w:w="211"/>
        <w:gridCol w:w="541"/>
        <w:gridCol w:w="109"/>
        <w:gridCol w:w="109"/>
        <w:gridCol w:w="109"/>
        <w:gridCol w:w="109"/>
        <w:gridCol w:w="211"/>
        <w:gridCol w:w="54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 (benefit):</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provision (benefit):</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based on pre-tax income from continuing operations, which is as follows for the years ended December 31, 2025, 2024 and 2023 (in millions):</w:t>
      </w:r>
    </w:p>
    <w:tbl>
      <w:tblPr>
        <w:tblW w:w="4556" w:type="dxa"/>
        <w:jc w:val="left"/>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11"/>
        <w:gridCol w:w="616"/>
        <w:gridCol w:w="109"/>
        <w:gridCol w:w="109"/>
        <w:gridCol w:w="109"/>
        <w:gridCol w:w="109"/>
        <w:gridCol w:w="211"/>
        <w:gridCol w:w="4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 attributable to continuing and discontinued operations for the years ended December 31, 2025, 2024 and 2023, is allocated as follows (in millions):</w:t>
      </w:r>
    </w:p>
    <w:tbl>
      <w:tblPr>
        <w:tblW w:w="9626" w:type="dxa"/>
        <w:jc w:val="left"/>
        <w:tblInd w:w="0" w:type="dxa"/>
        <w:tblLayout w:type="fixed"/>
        <w:tblCellMar>
          <w:top w:w="28" w:type="dxa"/>
          <w:left w:w="28" w:type="dxa"/>
          <w:bottom w:w="28" w:type="dxa"/>
          <w:right w:w="28" w:type="dxa"/>
        </w:tblCellMar>
      </w:tblPr>
      <w:tblGrid>
        <w:gridCol w:w="2322"/>
        <w:gridCol w:w="2046"/>
        <w:gridCol w:w="2051"/>
        <w:gridCol w:w="211"/>
        <w:gridCol w:w="466"/>
        <w:gridCol w:w="109"/>
        <w:gridCol w:w="109"/>
        <w:gridCol w:w="109"/>
        <w:gridCol w:w="109"/>
        <w:gridCol w:w="211"/>
        <w:gridCol w:w="541"/>
        <w:gridCol w:w="109"/>
        <w:gridCol w:w="109"/>
        <w:gridCol w:w="109"/>
        <w:gridCol w:w="109"/>
        <w:gridCol w:w="211"/>
        <w:gridCol w:w="541"/>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 per statements of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 on income from discontinued operations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net investment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equity method investment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components of other comprehensive earnings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 allocated to other comprehensive earnings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federal statutory income tax rate to the Company's effective income tax rate for the years ended December 31, 2025, 2024 and 2023, after the adoption of ASU 2023-09, is as follows:</w:t>
      </w:r>
    </w:p>
    <w:tbl>
      <w:tblPr>
        <w:tblW w:w="10205" w:type="dxa"/>
        <w:jc w:val="left"/>
        <w:tblInd w:w="0" w:type="dxa"/>
        <w:tblLayout w:type="fixed"/>
        <w:tblCellMar>
          <w:top w:w="28" w:type="dxa"/>
          <w:left w:w="28" w:type="dxa"/>
          <w:bottom w:w="28" w:type="dxa"/>
          <w:right w:w="28" w:type="dxa"/>
        </w:tblCellMar>
      </w:tblPr>
      <w:tblGrid>
        <w:gridCol w:w="1392"/>
        <w:gridCol w:w="1082"/>
        <w:gridCol w:w="1092"/>
        <w:gridCol w:w="109"/>
        <w:gridCol w:w="109"/>
        <w:gridCol w:w="109"/>
        <w:gridCol w:w="196"/>
        <w:gridCol w:w="421"/>
        <w:gridCol w:w="109"/>
        <w:gridCol w:w="109"/>
        <w:gridCol w:w="109"/>
        <w:gridCol w:w="109"/>
        <w:gridCol w:w="233"/>
        <w:gridCol w:w="233"/>
        <w:gridCol w:w="349"/>
        <w:gridCol w:w="109"/>
        <w:gridCol w:w="109"/>
        <w:gridCol w:w="109"/>
        <w:gridCol w:w="196"/>
        <w:gridCol w:w="421"/>
        <w:gridCol w:w="109"/>
        <w:gridCol w:w="109"/>
        <w:gridCol w:w="109"/>
        <w:gridCol w:w="109"/>
        <w:gridCol w:w="233"/>
        <w:gridCol w:w="233"/>
        <w:gridCol w:w="349"/>
        <w:gridCol w:w="109"/>
        <w:gridCol w:w="109"/>
        <w:gridCol w:w="109"/>
        <w:gridCol w:w="196"/>
        <w:gridCol w:w="421"/>
        <w:gridCol w:w="109"/>
        <w:gridCol w:w="109"/>
        <w:gridCol w:w="109"/>
        <w:gridCol w:w="109"/>
        <w:gridCol w:w="233"/>
        <w:gridCol w:w="233"/>
        <w:gridCol w:w="403"/>
      </w:tblGrid>
      <w:tr>
        <w:trPr/>
        <w:tc>
          <w:tcPr>
            <w:tcW w:w="139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State and local income taxes, net of federal income tax effect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Nontaxable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Bermuda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Statutory rate difference between Bermuda and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Global intangible low-taxed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Foreign-derived intangible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loss (benefit) from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Return to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capital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The jurisdictions that make up the majority (greater than 50%) of the tax effect in this category include New York City, New Jersey, California, and Florida for 2025; Florida, New York, California, Illinois, and New York City for 2024; and Florida, California, New York, Illinois, and New York City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of deferred income tax assets and liabilities as of December 31, 2025 and 2024, consist of the following (in millions):</w:t>
      </w:r>
    </w:p>
    <w:tbl>
      <w:tblPr>
        <w:tblW w:w="6174" w:type="dxa"/>
        <w:jc w:val="left"/>
        <w:tblInd w:w="0" w:type="dxa"/>
        <w:tblLayout w:type="fixed"/>
        <w:tblCellMar>
          <w:top w:w="28" w:type="dxa"/>
          <w:left w:w="28" w:type="dxa"/>
          <w:bottom w:w="28" w:type="dxa"/>
          <w:right w:w="28" w:type="dxa"/>
        </w:tblCellMar>
      </w:tblPr>
      <w:tblGrid>
        <w:gridCol w:w="1425"/>
        <w:gridCol w:w="1250"/>
        <w:gridCol w:w="1255"/>
        <w:gridCol w:w="211"/>
        <w:gridCol w:w="691"/>
        <w:gridCol w:w="109"/>
        <w:gridCol w:w="109"/>
        <w:gridCol w:w="109"/>
        <w:gridCol w:w="109"/>
        <w:gridCol w:w="211"/>
        <w:gridCol w:w="541"/>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accruals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income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goodwill and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taxes are classified in the consolidated balance sheets as of December 31, 2025 and 2024, as follows (in millions):</w:t>
      </w:r>
    </w:p>
    <w:tbl>
      <w:tblPr>
        <w:tblW w:w="8469" w:type="dxa"/>
        <w:jc w:val="left"/>
        <w:tblInd w:w="0" w:type="dxa"/>
        <w:tblLayout w:type="fixed"/>
        <w:tblCellMar>
          <w:top w:w="28" w:type="dxa"/>
          <w:left w:w="28" w:type="dxa"/>
          <w:bottom w:w="28" w:type="dxa"/>
          <w:right w:w="28" w:type="dxa"/>
        </w:tblCellMar>
      </w:tblPr>
      <w:tblGrid>
        <w:gridCol w:w="2253"/>
        <w:gridCol w:w="1983"/>
        <w:gridCol w:w="1989"/>
        <w:gridCol w:w="211"/>
        <w:gridCol w:w="691"/>
        <w:gridCol w:w="109"/>
        <w:gridCol w:w="109"/>
        <w:gridCol w:w="109"/>
        <w:gridCol w:w="109"/>
        <w:gridCol w:w="211"/>
        <w:gridCol w:w="541"/>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 assets (included in 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based on our historical pattern of taxable income, projections of future income, tax planning strategies as necessary and other relevant evidence, the Company will produce sufficient income in the future to realize its deferred income tax assets (net of valuation allowance). A valuation allowance is established for any portion of a deferred income tax asset for which we believe it is more likely than not that the Company will not be able to realize the benefits of all or a portion of that deferred income tax asset. We also receive periodic assessments from taxing authorities challenging our positions; these assessments must be taken into consideration in determining our tax accruals. Resolving these assessments, which may or may not result in additional taxes due, may require an extended period of time. Adjustments to the valuation allowance will be made if there is a change in our assessment of the amount of deferred income tax asset that is realizable.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net income taxes receivable of $325 million and a net income taxes payable of $236 million, respectively. As of December 31, 2025, $325 million of income tax receivable was included in Other receivables in the consolidated balance sheet. As of December 31, 2024, $279 million of income tax payable was included in Accounts payable, accrued and other liabilities and $43 million of income tax receivable was included in Other receivables in the consolidated balance sheet.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federal, state and foreign NOL carryforwards that resulted in deferred tax assets of $490 million and $364 million, respectively. Of these amounts, $143 million and $70 million, respectively, relate to federal and state NOL carryforwards. Most federal and state NOL carryforwards expire between 2026 and 2043, while a small number do not expire. The Company recorded valuation allowances of $55 million and $47 million as of December 31, 2025 and 2024, respectively, related to deferred tax assets arising from federal and state NOL carryforwards. Foreign NOL carryforwards resulted in deferred tax assets of $347 million and $294 million as of December 31, 2025 and 2024, respectively, and the Company maintained a valuation allowance against substantially all deferred tax assets arising from foreign NOL carryforwards as of both reporting dates.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as a result of the 2024 Worldpay Sale, the Company recorded a deferred tax asset of $220 million related to the U.S. capital loss recognized in the transaction, offset by a valuation allowance of $130 million. As of December 31, 2025, the Company maintained a deferred tax asset of $136 million related to the U.S. capital loss, fully offset by a valuation allowance of $136 million. The $84 million decrease in this deferred tax asset is primarily attributable to the carryback of the loss against available capital gains.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as a result of the 2024 Worldpay Sale, the Company recognized a $15 million deferred tax liability for the difference between the tax basis of the Worldpay equity method investment and the corresponding financial statement carrying value. During 2025, as a result of the 2026 Worldpay Minority Interest Sale, the Company remeasured the existing deferred tax liability to account for the change in our intent to hold the investment for the long term, as well as our best estimate of the ordinary versus capital characterization of the expected proceeds. In accordance with the provisions of ASC 740, the net deferred tax liability recognized in connection with our Worldpay equity method investment reflects the difference between the tax basis of the investment and the corresponding financial statement carrying value. As of December 31, 2025, the Company maintained a $498 million deferred tax liability and a $363 million deferred tax asset, fully offset by a valuation allowance, related to the equity method investment in Worldpay. As discussed in Note 1, the 2026 Worldpay Minority Interest Sale was completed on January 9, 2026, and the tax due will be based on the excess of sales proceeds over the tax basis and a number of other factors, including the valuation of assets held in Worldpay, how the form of the transaction was effectuated and the final purchase price allocation. The continued assessment of these factors and their potential impact on the ordinary versus capital characterization of the expected proceeds could result in a material change to the realizability of the deferred tax assets for U.S. capital loss carryforwards and the final tax computed on the sale.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the IRS' Compliance Assurance Process ("CAP"), which is a real-time continuous audit. The IRS has completed its review for years through 2021. Currently, we believe the ultimate resolution of the IRS examinations will not result in a material adverse effect to the Company's financial position or results of operations. Tax years that remain subject to examination by major foreign and state tax jurisdictions are 2017 and forward.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gross unrecognized tax benefits of $60 million and $49 million of which $51 million and $41 million, respectively, would favorably impact our income tax rate in the event that the unrecognized tax benefits are recognized.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gross amounts of unrecognized tax benefits at the beginning and end of the period (in millions):</w:t>
      </w:r>
    </w:p>
    <w:tbl>
      <w:tblPr>
        <w:tblW w:w="6388" w:type="dxa"/>
        <w:jc w:val="left"/>
        <w:tblInd w:w="0" w:type="dxa"/>
        <w:tblLayout w:type="fixed"/>
        <w:tblCellMar>
          <w:top w:w="28" w:type="dxa"/>
          <w:left w:w="28" w:type="dxa"/>
          <w:bottom w:w="28" w:type="dxa"/>
          <w:right w:w="28" w:type="dxa"/>
        </w:tblCellMar>
      </w:tblPr>
      <w:tblGrid>
        <w:gridCol w:w="1881"/>
        <w:gridCol w:w="1650"/>
        <w:gridCol w:w="1658"/>
        <w:gridCol w:w="347"/>
        <w:gridCol w:w="595"/>
        <w:gridCol w:w="257"/>
      </w:tblGrid>
      <w:tr>
        <w:trPr/>
        <w:tc>
          <w:tcPr>
            <w:tcW w:w="188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December 31, 2023</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lapse of the applicable statute of limitations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settlements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as a result of tax positions taken in the prior period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as a result of tax positions taken in the current period</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2024</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lapse of the applicable statute of limitations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due to settlements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as a result of tax positions taken in prior period</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as a result of tax positions taken in the current period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2025</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amount of interest expense recognized in the consolidated statements of earnings (loss) for unpaid taxes is $2 million, $3 million and $2 million for the years ended December 31, 2025, 2024 and 2023, respectively. The total amount of interest and penalties included in the consolidated balance sheets is $12 million and $10 million as of December 31, 2025 and 2024, respectively. Interest and penalties are recorded as a component of income tax expense in the consolidated statements of earnings (loss).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cash payments for income taxes for the period ended December 31, 2025, 2024, and 2023 as follows (in millions):</w:t>
      </w:r>
    </w:p>
    <w:tbl>
      <w:tblPr>
        <w:tblW w:w="5648" w:type="dxa"/>
        <w:jc w:val="left"/>
        <w:tblInd w:w="0" w:type="dxa"/>
        <w:tblLayout w:type="fixed"/>
        <w:tblCellMar>
          <w:top w:w="28" w:type="dxa"/>
          <w:left w:w="28" w:type="dxa"/>
          <w:bottom w:w="28" w:type="dxa"/>
          <w:right w:w="28" w:type="dxa"/>
        </w:tblCellMar>
      </w:tblPr>
      <w:tblGrid>
        <w:gridCol w:w="816"/>
        <w:gridCol w:w="715"/>
        <w:gridCol w:w="733"/>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(18)</w:t>
      </w:r>
      <w:r>
        <w:rPr>
          <w:rFonts w:ascii="Times New Roman;serif" w:hAnsi="Times New Roman;serif"/>
          <w:b/>
          <w:color w:val="000000"/>
          <w:sz w:val="20"/>
        </w:rPr>
        <w:t>Commitments and Contingencies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Securities and Shareholder Matters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On March 6, 2023, a putative class action was filed in the United States District Court for the Middle District of Florida by a shareholder of the Company. The action was consolidated with another action and the consolidated case is now captioned </w:t>
      </w:r>
      <w:r>
        <w:rPr>
          <w:rFonts w:ascii="Times New Roman;serif" w:hAnsi="Times New Roman;serif"/>
          <w:b w:val="false"/>
          <w:i/>
          <w:color w:val="000000"/>
          <w:sz w:val="20"/>
        </w:rPr>
        <w:t>In re Fidelity National Information Services, Inc. Securities Litigation</w:t>
      </w:r>
      <w:r>
        <w:rPr>
          <w:rFonts w:ascii="Times New Roman;serif" w:hAnsi="Times New Roman;serif"/>
          <w:b w:val="false"/>
          <w:color w:val="000000"/>
          <w:sz w:val="20"/>
        </w:rPr>
        <w:t>. Lead plaintiffs were appointed, and a consolidated amended complaint was filed on August 2, 2023. The consolidated amended complaint named the Company and certain of its current and former officers as defendants and sought damages for alleged violations of federal securities laws in connection with our disclosures relating to our former Merchant Solutions segment, including with respect to its valuation, integration, and synergies. On September 30, 2024, the court denied the defendants' motion to dismiss. In the fourth quarter of 2025, the parties filed a joint stipulation voluntarily dismissing the claims against Stephanie Ferris. Also in the fourth quarter of 2025, the parties reached an agreement to settle the matter. The settlement amount is expected to be substantially paid by insurance and is not expected to materially impact our results of operations or financial condition. On December 19, 2025, the plaintiffs filed a motion for preliminary approval of the settlement. The court entered a preliminary approval order on February 18, 2026, and has scheduled a hearing for July 9, 2026, to determine whether a final approval order should be entered.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April 27, 2023, a shareholder derivative action captioned </w:t>
      </w:r>
      <w:r>
        <w:rPr>
          <w:rFonts w:ascii="Times New Roman;serif" w:hAnsi="Times New Roman;serif"/>
          <w:b w:val="false"/>
          <w:i/>
          <w:color w:val="000000"/>
          <w:sz w:val="20"/>
        </w:rPr>
        <w:t xml:space="preserve">Portia McCollum, derivatively on behalf of Fidelity National Information Services, Inc. v. Gary Norcross et al., </w:t>
      </w:r>
      <w:r>
        <w:rPr>
          <w:rFonts w:ascii="Times New Roman;serif" w:hAnsi="Times New Roman;serif"/>
          <w:b w:val="false"/>
          <w:color w:val="000000"/>
          <w:sz w:val="20"/>
        </w:rPr>
        <w:t xml:space="preserve">was filed in the same court by a stockholder of the Company. Subsequently, that stockholder dismissed the suit without prejudice and sent a demand pursuant to Georgia Code § 14-2-742 (the "McCollum Demand"). Another stockholder, City of Hialeah Employees' Retirement System, sent a similar demand (the "Hialeah Demand"), and three other stockholders, City of Southfield Fire and Police Retirement System, Young Family Living Trust, and Michele Luthin, also subsequently sent similar demands (the "Southfield Demand," the "Young Demand," and the "Luthin Demand," respectively). The Southfield Demand was subsequently withdrawn. The demands claim that FIS officers and directors violated federal securities laws and breached fiduciary duties, including with respect to the valuation, integration, and synergies of our former Merchant Solutions segment, and they demand that the Board investigate and commence legal proceedings against officers and directors in connection with the purported wrongdoing. On August 25, 2023, the Board established a Demand Review Committee to consider the McCollum and Hialeah Demands and any related demands that are received (such as the Young Demand and the Luthin Demand) and make recommendations to the Board with respect to the demands. The Demand Review Committee has hired independent counsel.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October 18, 2023, a shareholder derivative action captioned </w:t>
      </w:r>
      <w:r>
        <w:rPr>
          <w:rFonts w:ascii="Times New Roman;serif" w:hAnsi="Times New Roman;serif"/>
          <w:b w:val="false"/>
          <w:i/>
          <w:color w:val="000000"/>
          <w:sz w:val="20"/>
        </w:rPr>
        <w:t>City of Hialeah Employees' Retirement System v. Stephanie L. Ferris et al.</w:t>
      </w:r>
      <w:r>
        <w:rPr>
          <w:color w:val="000000"/>
        </w:rPr>
        <w:t xml:space="preserve"> </w:t>
      </w:r>
      <w:r>
        <w:rPr>
          <w:rFonts w:ascii="Times New Roman;serif" w:hAnsi="Times New Roman;serif"/>
          <w:b w:val="false"/>
          <w:color w:val="000000"/>
          <w:sz w:val="20"/>
        </w:rPr>
        <w:t>(the "Hialeah Action") was filed in the same court by the stockholder that previously had sent the Hialeah Demand. The complaint in the Hialeah Action, which names certain of the Company's current and former officers and directors as defendants (the "Individual Defendants"), seeks to assert claims on behalf of the Company for violations of federal securities laws, breach of fiduciary duty, unjust enrichment, and contribution and indemnification, including with respect to the valuation, integration, and synergies of our former Merchant Solutions segment. On March 29, 2024, the Company and the Individual Defendants filed a motion to stay or dismiss the action without prejudice pending the completion of the Board's consideration of the demands (the "Motion to Stay"), and the Individual Defendants concurrently filed a separate motion to dismiss (the "Individual Defendants’ Motion to Dismiss"). On March 21, 2025, the court granted in part and denied in part the Motion to Stay, and denied the Individual Defendants' Motion to Dismiss. The Individual Defendants filed answers to the complaint on April 29, 2025, and the case was partially stayed pending completion of the Demand Review Committee's investigation.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On October 22, 2024, another shareholder derivative action was filed in the same court by the stockholder who previously sent the McCollum Demand, captioned </w:t>
      </w:r>
      <w:r>
        <w:rPr>
          <w:rFonts w:ascii="Times New Roman;serif" w:hAnsi="Times New Roman;serif"/>
          <w:b w:val="false"/>
          <w:i/>
          <w:color w:val="000000"/>
          <w:sz w:val="20"/>
        </w:rPr>
        <w:t xml:space="preserve">Portia McCollum, derivatively on behalf of Fidelity National Information Services,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val="false"/>
          <w:i/>
          <w:color w:val="000000"/>
          <w:sz w:val="20"/>
        </w:rPr>
        <w:t>v. Gary Norcross et al.</w:t>
      </w:r>
      <w:r>
        <w:rPr>
          <w:color w:val="000000"/>
        </w:rPr>
        <w:t xml:space="preserve"> </w:t>
      </w:r>
      <w:r>
        <w:rPr>
          <w:rFonts w:ascii="Times New Roman;serif" w:hAnsi="Times New Roman;serif"/>
          <w:b w:val="false"/>
          <w:color w:val="000000"/>
          <w:sz w:val="20"/>
        </w:rPr>
        <w:t>(the "McCollum Action"). The complaint in the McCollum Action, which names certain of the Company’s current and former officers and directors as defendants, seeks to assert claims on behalf of the Company for violations of federal securities laws, breach of fiduciary duty, aiding and abetting breach of fiduciary duty, waste, and unjust enrichment, including with respect to the valuation, integration, and synergies of our former Merchant Solutions segment. On November 7, 2024, the court entered an order staying the McCollum Action.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Demand Review Committee provided a report on August 28, 2025, recommending that the independent members of the Board reject the demands and direct the Company to seek dismissal of the Hialeah Action and the McCollum Action, and the independent members of the Board have unanimously voted to adopt the Committee’s recommendations. On November 24, 2025, the Company moved to dismiss the Hialeah Action and the McCollum Action based on the Board's determination.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Indemnifications and Warranties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generally indemnifies its clients, subject to certain limitations and exceptions, against damages and costs resulting from claims of patent, copyright, or trademark infringement associated solely with its customers' use of the Company's solutions. Historically, the Company has not made any material payments under such indemnifications but continues to monitor the conditions that are subject to the indemnifications to identify whether it is probable that a loss has occurred, in which case it would recognize any such losses when they are estimable. In addition, the Company warrants to customers that its software operates substantially in accordance with the software specifications. Historically, no material costs have been incurred related to software warranties, and no accruals for warranty costs have been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agreements with various vendors, generally with one- to five-year terms, principally for software, maintenance, and consulting and outsourced services, including cloud hosting and data centers. The Company's estimated aggregate contractual obligation remaining under these agreements is approximately $1.2 billion as of December 31, 2025. However, this amount could be more or less depending on various factors such as the inflation rate, foreign exchange rates, the introduction of significant new technologies, or changes in the Company's processing needs. The foregoing amounts do not include obligations of the Company under operating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(19)</w:t>
      </w:r>
      <w:r>
        <w:rPr>
          <w:rFonts w:ascii="Times New Roman;serif" w:hAnsi="Times New Roman;serif"/>
          <w:b/>
          <w:color w:val="000000"/>
          <w:sz w:val="20"/>
        </w:rPr>
        <w:t xml:space="preserve">Employee Benefit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Purchase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FIS employees participate in an Employee Stock Purchase Plan ("ESPP"). Eligible employees may voluntarily purchase, at current market prices, shares of FIS' common stock through payroll deductions. Pursuant to the ESPP, employees may contribute an amount between 3% and 15% of their base salary and certain commissions. Shares purchased are allocated to employees based upon their contributions. The Company contributes a matching amount as specified in the ESPP of 20% of the employee's contribution. The Company recorded expense in continuing operations of $10 million, $10 million, and $11 million, respectively, for the years ended December 31, 2025, 2024 and 2023, relating to the participation of FIS employees in the ESPP. The Company recorded expense in discontinued operations of $0 million, less than $1 million and $1 million, respectively, for the years ended December 31, 2025, 2024 and 2023, relating to the participation of Worldpay-related employees in the ESPP.</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401(k) Profit Sharing Plan and Non-U.S. Defined Contribution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U.S. employees are covered by a qualified 401(k) plan. Eligible employees may contribute up to 40% of their eligible compensation, up to the annual amount allowed pursuant to the Internal Revenue Code. The Company generally matches 50% of each dollar of employee contribution up to 6% of the employee's total eligible compensation. The Company's non-U.S. employees are also covered by various defined contribution plans. The Company recorded expense in continuing operations of $125 million, $107 million and $106 million, respectively, for the years ended December 31, 2025, 2024 and 2023, relating to the participation of FIS employees in the 401(k) plan and the Company's contributions to non-U.S. defined contribution plans. The Company recorded expense in discontinued operations of $0 million, $3 million and $29 million, respectively, for the years ended December 31, 2025, 2024 and 2023, relating to the participation of Worldpay-related employees in the 401(k) plan and the Company’s contributions to non-U.S. defined contribution plans. </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Compensation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to certain employees equity awards pursuant to shares authorized under the FIS 2022 Omnibus Incentive Plan established in 2022 ("FIS Plan"). The number of shares available for future grants under the FIS Plan is 24 million as of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 and Performance Stock Units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issues restricted stock units, which typically vest annually over three years. The grant date fair value of the restricted stock units is based on the fair market value of our common stock on the grant date. The number of restricted stock units granted during the years ended December 31, 2025, 2024 and 2023, was 2 million, 3 million and 3 million, respectively. The weighted average grant date fair value of these awards granted during the years ended December 31, 2025, 2024 and 2023, was $70.03, $70.65 and $61.34, respectively. The total fair value of restricted stock units that vested was $145 million, $93 million and $40 million in 2025, 2024 and 2023,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performance-based stock units that typically cliff vest on the third anniversary date of the grant. The ultimate number of units to be earned depends on the achievement of performance conditions. Some performance-based stock units also include market conditions. The performance conditions are typically based on a measure of the Company’s Adjusted revenue growth and Adjusted Earnings Per Share. In 2024, following the completion of the 2024 Worldpay Sale, the Company modified the performance criteria for the 2024 performance year under the outstanding 2022 performance stock units to match the performance criteria for the 2024 performance year included in the performance stock units granted in 2024, since the prior criteria were established when FIS owned Worldpay and were no longer appropriate following the sale. The modification did not result in significant incremental compensation costs. The market conditions are based on the Company’s total shareholder return ranked against that of other companies that are included in the Standard &amp; Poor’s 500 Index. The fair value of each performance-based stock unit with only performance conditions is based on the fair value of our common stock on the grant date. The fair value of each performance-based stock unit with a market condition is estimated on the date of grant using a Monte Carlo simulation model with the following weighted-average assumptions:</w:t>
      </w:r>
    </w:p>
    <w:tbl>
      <w:tblPr>
        <w:tblW w:w="4874" w:type="dxa"/>
        <w:jc w:val="left"/>
        <w:tblInd w:w="0" w:type="dxa"/>
        <w:tblLayout w:type="fixed"/>
        <w:tblCellMar>
          <w:top w:w="28" w:type="dxa"/>
          <w:left w:w="28" w:type="dxa"/>
          <w:bottom w:w="28" w:type="dxa"/>
          <w:right w:w="28" w:type="dxa"/>
        </w:tblCellMar>
      </w:tblPr>
      <w:tblGrid>
        <w:gridCol w:w="662"/>
        <w:gridCol w:w="581"/>
        <w:gridCol w:w="586"/>
        <w:gridCol w:w="255"/>
        <w:gridCol w:w="256"/>
        <w:gridCol w:w="271"/>
        <w:gridCol w:w="109"/>
        <w:gridCol w:w="109"/>
        <w:gridCol w:w="109"/>
        <w:gridCol w:w="255"/>
        <w:gridCol w:w="256"/>
        <w:gridCol w:w="271"/>
        <w:gridCol w:w="109"/>
        <w:gridCol w:w="109"/>
        <w:gridCol w:w="109"/>
        <w:gridCol w:w="255"/>
        <w:gridCol w:w="256"/>
        <w:gridCol w:w="31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number of performance-based stock units granted during the years ended December 31, 2025, 2024 and 2023, was 1 million, less than 1 million and 1 million, respectively. The weighted average grant date fair value of these awards granted during the years ended December 31, 2025, 2024 and 2023, was $74.91, $69.75 and $65.43, respectively. The total fair value of the performance-based stock units that vested was $97 million, $17 million and $10 million in 2025, 2024 and 2023,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units and performance stock units activity for the year ended December 31, 2025, which includes both continuing and discontinued operations (in millions except for per share amounts):</w:t>
      </w:r>
    </w:p>
    <w:tbl>
      <w:tblPr>
        <w:tblW w:w="10024" w:type="dxa"/>
        <w:jc w:val="left"/>
        <w:tblInd w:w="0" w:type="dxa"/>
        <w:tblLayout w:type="fixed"/>
        <w:tblCellMar>
          <w:top w:w="28" w:type="dxa"/>
          <w:left w:w="28" w:type="dxa"/>
          <w:bottom w:w="28" w:type="dxa"/>
          <w:right w:w="28" w:type="dxa"/>
        </w:tblCellMar>
      </w:tblPr>
      <w:tblGrid>
        <w:gridCol w:w="869"/>
        <w:gridCol w:w="763"/>
        <w:gridCol w:w="768"/>
        <w:gridCol w:w="324"/>
        <w:gridCol w:w="324"/>
        <w:gridCol w:w="326"/>
        <w:gridCol w:w="117"/>
        <w:gridCol w:w="117"/>
        <w:gridCol w:w="117"/>
        <w:gridCol w:w="514"/>
        <w:gridCol w:w="1501"/>
        <w:gridCol w:w="265"/>
        <w:gridCol w:w="109"/>
        <w:gridCol w:w="109"/>
        <w:gridCol w:w="109"/>
        <w:gridCol w:w="324"/>
        <w:gridCol w:w="324"/>
        <w:gridCol w:w="326"/>
        <w:gridCol w:w="131"/>
        <w:gridCol w:w="131"/>
        <w:gridCol w:w="131"/>
        <w:gridCol w:w="499"/>
        <w:gridCol w:w="1461"/>
        <w:gridCol w:w="365"/>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6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Stock Compensation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total stock compensation expense in continuing operations of $181 million, $186 million and $120 million for the years ended December 31, 2025, 2024 and 2023, respectively, included in Selling, general, and administrative expenses in the consolidated statements of earnings (loss). The Company recorded total stock compensation expense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discontinued operations of $0 million, $3 million and $34 million for the years ended December 31, 2025, 2024 and 2023, respectively. Stock compensation expense related to grants with performance conditions is recorded based on management's expected level of achievement of the financial performance measures during the performance period and is adjusted as appropriate throughout the performance period based on the shares expected to be earned.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total unrecognized compensation cost related to non-vested stock awards was $197 million and $222 million, respectively, which is expected to be recognized in pre-tax income over a weighted average period of 1.5 years and 1.5 years, respectively.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(20)</w:t>
      </w:r>
      <w:r>
        <w:rPr>
          <w:rFonts w:ascii="Times New Roman;serif" w:hAnsi="Times New Roman;serif"/>
          <w:b/>
          <w:color w:val="000000"/>
          <w:sz w:val="20"/>
        </w:rPr>
        <w:t>Components of Other Comprehensive Earnings (Loss)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Accumulated other comprehensive earnings (loss) attributable to FIS by component, net of tax, for the years ended December 31, 2025, 2024 and 2023 (in millions):</w:t>
      </w:r>
    </w:p>
    <w:tbl>
      <w:tblPr>
        <w:tblW w:w="10205" w:type="dxa"/>
        <w:jc w:val="left"/>
        <w:tblInd w:w="0" w:type="dxa"/>
        <w:tblLayout w:type="fixed"/>
        <w:tblCellMar>
          <w:top w:w="28" w:type="dxa"/>
          <w:left w:w="28" w:type="dxa"/>
          <w:bottom w:w="28" w:type="dxa"/>
          <w:right w:w="28" w:type="dxa"/>
        </w:tblCellMar>
      </w:tblPr>
      <w:tblGrid>
        <w:gridCol w:w="911"/>
        <w:gridCol w:w="360"/>
        <w:gridCol w:w="361"/>
        <w:gridCol w:w="109"/>
        <w:gridCol w:w="109"/>
        <w:gridCol w:w="109"/>
        <w:gridCol w:w="271"/>
        <w:gridCol w:w="602"/>
        <w:gridCol w:w="142"/>
        <w:gridCol w:w="109"/>
        <w:gridCol w:w="109"/>
        <w:gridCol w:w="109"/>
        <w:gridCol w:w="230"/>
        <w:gridCol w:w="751"/>
        <w:gridCol w:w="119"/>
        <w:gridCol w:w="109"/>
        <w:gridCol w:w="109"/>
        <w:gridCol w:w="109"/>
        <w:gridCol w:w="375"/>
        <w:gridCol w:w="828"/>
        <w:gridCol w:w="195"/>
        <w:gridCol w:w="109"/>
        <w:gridCol w:w="109"/>
        <w:gridCol w:w="109"/>
        <w:gridCol w:w="406"/>
        <w:gridCol w:w="926"/>
        <w:gridCol w:w="210"/>
        <w:gridCol w:w="109"/>
        <w:gridCol w:w="109"/>
        <w:gridCol w:w="109"/>
        <w:gridCol w:w="211"/>
        <w:gridCol w:w="378"/>
        <w:gridCol w:w="109"/>
        <w:gridCol w:w="109"/>
        <w:gridCol w:w="109"/>
        <w:gridCol w:w="109"/>
        <w:gridCol w:w="211"/>
        <w:gridCol w:w="483"/>
        <w:gridCol w:w="164"/>
      </w:tblGrid>
      <w:tr>
        <w:trPr/>
        <w:tc>
          <w:tcPr>
            <w:tcW w:w="9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of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 of Equity Method Investment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Reclassification of Foreign Currency Translation Adjustments to Net Earnings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17 for the tax provision associated with each component of other comprehensive earnings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(21)</w:t>
      </w:r>
      <w:r>
        <w:rPr>
          <w:rFonts w:ascii="Times New Roman;serif" w:hAnsi="Times New Roman;serif"/>
          <w:b/>
          <w:color w:val="000000"/>
          <w:sz w:val="20"/>
        </w:rPr>
        <w:t>Concentration of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a significant amount of revenue from large clients; however, no individual client accounted for 10% or more of total revenue in the years ended December 31, 2025, 2024 and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equivalents and trade receivables, as well as derivatives in a net asset position. The Company places its cash equivalents with high credit-quality financial institutions and, by policy, limits the amount of credit exposure with any one financial institution. Concentrations of credit risk with respect to trade receivables are limited because a large number of geographically diverse clients make up the Company's client base, thus spreading the trade receivables credit risk. The Company seeks to minimize credit risk for derivatives by selecting counterparties with investment grade credit ratings. The Company also manages credit risk exposure through monitoring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(22)</w:t>
      </w:r>
      <w:r>
        <w:rPr>
          <w:rFonts w:ascii="Times New Roman;serif" w:hAnsi="Times New Roman;serif"/>
          <w:b/>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performance based on the following segments: Banking Solutions, Capital Market Solutions and Corporate and Other. Below is a summary of each segment.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Banking Solutions ("Banking")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Banking segment is focused on serving financial institutions with core processing software, transaction processing software and complementary applications and services, many of which interact directly with core processing software. We sell these solutions on either a bundled or stand-alone basis. Clients in this segment include global financial institutions, U.S. regional and community banks, credit unions and commercial lenders, as well as government institutions and other commercial organizations. We provide our clients integrated solutions characterized by multi-year processing contracts that generate recurring revenue. The predictable nature of cash flows generated from the Banking segment provides opportunities for further investments in innovation, integration, information and security, and compliance in a cost-effective manner.</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Market Solutions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Capital Markets segment is focused on serving global financial services clients and multi-national corporations with a broad array of buy- and sell-side, treasury, risk management and lending solutions. Clients in this segment include asset managers, private equity firms, sell-side securities brokerage and trading firms, insurers, asset and auto financiers and other commercial organizations. Our solutions include a variety of mission-critical buy- and sell-side applications for recordkeeping, data and analytics, trading and financing as well as corporate treasury and risk management applications. Capital Markets clients purchase our solutions in various ways including licensing and managing technology "in-house," using consulting and third-party service providers, as well as procuring fully outsourced end-to-end solutions. Our long-established relationships with many of these financial and commercial institutions generate significant recurring revenue. We have made, and continue to make, investments in modern platforms, advanced technologies, open APIs, machine learning and AI, and regulatory technology to support our Capital Markets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Corporate and Other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Corporate and Other segment consists of corporate overhead expense, certain leveraged functions and miscellaneous expenses that are not included in the operating segments, as well as certain non-strategic businesses. The overhead and leveraged costs relate to corporate marketing, finance, accounting, human resources, legal, compliance and internal audit functions as well as other costs, such as acquisition, integration and transformation-related expenses and amortization of acquisition-related intangibles, that are not considered when management evaluates revenue-generating segment performance. Our other operating income recorded in connection with the TSA is also recorded in Corporate and Other.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Corporate and Other segment, the Company recorded acquisition, integration and other costs for the years ended December 31, 2025, 2024 and 2023, comprised of the following (in millions):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512"/>
        <w:gridCol w:w="2148"/>
        <w:gridCol w:w="215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251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transformation, including Future Forward and platform modernization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termination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of the Worldpay Merchant Solutions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stock compensation directly attributable to specific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divestiture-related expenses and enterprise cost control and other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integration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table may not sum due to rounding.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the year ended December 31, 2023, Other costs in Corporate and Other also include incremental amortization expense associated with shortened estimated useful lives and accelerated amortization methods for certain software and deferred contract cost assets resulting from the Company's platform modernization, as described in Notes 10 and 11, impairment charges described in Notes 10 and 11 and costs that were previously incurred in support of the Worldpay Merchant Solutions business but are not directly attributable to it and thus were not recorded in discontinued operations.</w:t>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Adjusted EBITDA is a measure of segment profit or loss that is reported to the chief operating decision maker, the Company's Chief Executive Officer and President, who utilizes the measure for purposes of making decisions about allocating resources to the segments and assessing their performance. For this reason, Adjusted EBITDA, as it relates to our segments, is presented in conformity with FASB ASC Topic 280, </w:t>
      </w:r>
      <w:r>
        <w:rPr>
          <w:rFonts w:ascii="Times New Roman;serif" w:hAnsi="Times New Roman;serif"/>
          <w:b w:val="false"/>
          <w:i/>
          <w:color w:val="000000"/>
          <w:sz w:val="20"/>
        </w:rPr>
        <w:t>Segment Reporting</w:t>
      </w:r>
      <w:r>
        <w:rPr>
          <w:rFonts w:ascii="Times New Roman;serif" w:hAnsi="Times New Roman;serif"/>
          <w:b w:val="false"/>
          <w:color w:val="000000"/>
          <w:sz w:val="20"/>
        </w:rPr>
        <w:t>. Adjusted EBITDA is defined as net earnings (loss) before net interest expense, net other income (expense), income tax provision (benefit), equity method investment earnings (loss), and depreciation and amortization, and excludes certain costs that do not constitute normal, recurring, cash operating expenses necessary to operate our business. These excluded costs generally consist of the purchase price amortization of acquired intangible assets as well as acquisition, integration and certain other costs and asset impairments. These excluded costs are recorded in the Corporate and Other segment. After adjusting for the foregoing items, our significant segment expenses consist of the following categories: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 cost of revenue, which consists primarily of the cost of shipping, equipment, third-party data processing, loyalty program redemptions, printing, and card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personnel costs, which consist primarily of employee compensation and benefits expense and third-party labor and outsourcing costs, net of capitalized amounts;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Infrastructure costs, which consist primarily of software, hardware, facilities and network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Allocated costs, which consist primarily of shared infrastructure and related operational personnel costs, as well as leveraged sales personnel costs, that are allocated to Banking and Capital Markets from Corporate and Other according to estimated usage;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costs, which consists primarily of the cost of third-party consulting and advisory services, employee travel and training, marketing, insurance, and bad debt, offset by TSA services income.</w:t>
      </w:r>
    </w:p>
    <w:p>
      <w:pPr>
        <w:pStyle w:val="TextBody"/>
        <w:bidi w:val="0"/>
        <w:spacing w:before="0" w:after="0"/>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segments is shown in the following tables. The Company does not evaluate performance or allocate resources based on segment asset data; therefore, such information is not presented.</w:t>
      </w:r>
    </w:p>
    <w:p>
      <w:pPr>
        <w:pStyle w:val="TextBody"/>
        <w:bidi w:val="0"/>
        <w:spacing w:before="0" w:after="0"/>
        <w:ind w:left="0" w:right="0" w:firstLine="31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(in millions):</w:t>
      </w:r>
    </w:p>
    <w:tbl>
      <w:tblPr>
        <w:tblW w:w="9929" w:type="dxa"/>
        <w:jc w:val="left"/>
        <w:tblInd w:w="0" w:type="dxa"/>
        <w:tblLayout w:type="fixed"/>
        <w:tblCellMar>
          <w:top w:w="28" w:type="dxa"/>
          <w:left w:w="28" w:type="dxa"/>
          <w:bottom w:w="28" w:type="dxa"/>
          <w:right w:w="28" w:type="dxa"/>
        </w:tblCellMar>
      </w:tblPr>
      <w:tblGrid>
        <w:gridCol w:w="1965"/>
        <w:gridCol w:w="1726"/>
        <w:gridCol w:w="1738"/>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196"/>
        <w:gridCol w:w="646"/>
        <w:gridCol w:w="154"/>
      </w:tblGrid>
      <w:tr>
        <w:trPr/>
        <w:tc>
          <w:tcPr>
            <w:tcW w:w="1965"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earnings (loss), net of tax</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attributable to FIS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$185 million of certain hardware and software purchases subject to financing or other long-term payment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(in millions):</w:t>
      </w:r>
    </w:p>
    <w:tbl>
      <w:tblPr>
        <w:tblW w:w="9930" w:type="dxa"/>
        <w:jc w:val="left"/>
        <w:tblInd w:w="0" w:type="dxa"/>
        <w:tblLayout w:type="fixed"/>
        <w:tblCellMar>
          <w:top w:w="28" w:type="dxa"/>
          <w:left w:w="28" w:type="dxa"/>
          <w:bottom w:w="28" w:type="dxa"/>
          <w:right w:w="28" w:type="dxa"/>
        </w:tblCellMar>
      </w:tblPr>
      <w:tblGrid>
        <w:gridCol w:w="1966"/>
        <w:gridCol w:w="1725"/>
        <w:gridCol w:w="1739"/>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196"/>
        <w:gridCol w:w="64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Worldpay business support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from discontinued operations, net of tax</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FIS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$187 million of certain hardware and software purchases subject to financing or other long-term payment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(in millions):</w:t>
      </w:r>
    </w:p>
    <w:tbl>
      <w:tblPr>
        <w:tblW w:w="9915" w:type="dxa"/>
        <w:jc w:val="left"/>
        <w:tblInd w:w="0" w:type="dxa"/>
        <w:tblLayout w:type="fixed"/>
        <w:tblCellMar>
          <w:top w:w="28" w:type="dxa"/>
          <w:left w:w="28" w:type="dxa"/>
          <w:bottom w:w="28" w:type="dxa"/>
          <w:right w:w="28" w:type="dxa"/>
        </w:tblCellMar>
      </w:tblPr>
      <w:tblGrid>
        <w:gridCol w:w="1967"/>
        <w:gridCol w:w="1725"/>
        <w:gridCol w:w="1738"/>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196"/>
        <w:gridCol w:w="631"/>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Banking</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br/>
              <w:t>Market</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personnel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Infrastructure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accounting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integration and other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Worldpay business support costs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from discontinued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noncontrolling interest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attributable to FIS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purchase accounting amortization)</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Capital expenditures include $53 million of certain hardware and software purchases subject to financing or other long-term payment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assets, excluding goodwill and other intangible assets, located outside of the United States totaled $857 million and $760 million as of December 31, 2025 and 2024, respectively. These assets are predominantly located in the United Kingdom, Ireland, Germany, Australia, India and Sweden.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(23)Quarterly Financial Data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8"/>
        <w:gridCol w:w="1471"/>
        <w:gridCol w:w="1485"/>
        <w:gridCol w:w="232"/>
        <w:gridCol w:w="677"/>
        <w:gridCol w:w="119"/>
        <w:gridCol w:w="109"/>
        <w:gridCol w:w="109"/>
        <w:gridCol w:w="109"/>
        <w:gridCol w:w="253"/>
        <w:gridCol w:w="740"/>
        <w:gridCol w:w="130"/>
        <w:gridCol w:w="109"/>
        <w:gridCol w:w="109"/>
        <w:gridCol w:w="109"/>
        <w:gridCol w:w="239"/>
        <w:gridCol w:w="700"/>
        <w:gridCol w:w="123"/>
        <w:gridCol w:w="109"/>
        <w:gridCol w:w="109"/>
        <w:gridCol w:w="109"/>
        <w:gridCol w:w="251"/>
        <w:gridCol w:w="735"/>
        <w:gridCol w:w="191"/>
      </w:tblGrid>
      <w:tr>
        <w:trPr/>
        <w:tc>
          <w:tcPr>
            <w:tcW w:w="18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 from continuing operations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FIS: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per common share attributable to FIS from continuing operations: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90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in tables in the financial statements and accompanying footnotes may not sum or calculate due to rounding.</w:t>
      </w:r>
    </w:p>
    <w:p>
      <w:pPr>
        <w:pStyle w:val="TextBody"/>
        <w:bidi w:val="0"/>
        <w:spacing w:before="0" w:after="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FIDELITY NATIONAL INFORMATION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1878"/>
        <w:gridCol w:w="1471"/>
        <w:gridCol w:w="1485"/>
        <w:gridCol w:w="232"/>
        <w:gridCol w:w="677"/>
        <w:gridCol w:w="119"/>
        <w:gridCol w:w="109"/>
        <w:gridCol w:w="109"/>
        <w:gridCol w:w="109"/>
        <w:gridCol w:w="253"/>
        <w:gridCol w:w="740"/>
        <w:gridCol w:w="130"/>
        <w:gridCol w:w="109"/>
        <w:gridCol w:w="109"/>
        <w:gridCol w:w="109"/>
        <w:gridCol w:w="239"/>
        <w:gridCol w:w="700"/>
        <w:gridCol w:w="123"/>
        <w:gridCol w:w="109"/>
        <w:gridCol w:w="109"/>
        <w:gridCol w:w="109"/>
        <w:gridCol w:w="251"/>
        <w:gridCol w:w="735"/>
        <w:gridCol w:w="191"/>
      </w:tblGrid>
      <w:tr>
        <w:trPr/>
        <w:tc>
          <w:tcPr>
            <w:tcW w:w="18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tax</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tax</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 from continuing operations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FIS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FIS: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per common share attributable to FIS from continuing operations: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90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in tables in the financial statements and accompanying footnotes may not sum or calculate due to rounding.</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(24)    Issuer Solutions Acquisition and 2026 Worldpay Minority Interest Sale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9, 2026, FIS completed its previously announced (i) acquisition of the Issuer Solutions Business from Global Payments and (ii) sale of its remaining equity interests in Worldpay to Global Payments, pursuant to the Transaction Agreement entered into on April 17, 2025. See Notes 1, 4, 5 and 14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0"/>
        </w:rPr>
        <w:t>Item 9.</w:t>
      </w:r>
      <w:r>
        <w:rPr>
          <w:color w:val="000000"/>
        </w:rPr>
        <w:t>    </w:t>
      </w:r>
      <w:r>
        <w:rPr>
          <w:rFonts w:ascii="Times New Roman;serif" w:hAnsi="Times New Roman;serif"/>
          <w:b/>
          <w:i/>
          <w:color w:val="000000"/>
          <w:sz w:val="20"/>
        </w:rPr>
        <w:t>Changes in and Disagreements with Accountants on Accounting and Financial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 (e) under the Securities Exchange Act of 1934, as amended (the "Exchange Act"). Based on this evaluation, our principal executive officer and principal financial officer concluded that our disclosure controls and procedures were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most recent fiscal quarter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 ("COSO"). Based on our evaluation under this framework, our management concluded that our internal control over financial reporting was effective as of December 31, 2025. KPMG LLP, an independent registered public accounting firm, has issued an attestation report on our internal control over financial reporting as set forth in Item 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9B.</w:t>
      </w:r>
      <w:r>
        <w:rPr>
          <w:color w:val="000000"/>
        </w:rPr>
        <w:t>    </w:t>
      </w:r>
      <w:r>
        <w:rPr>
          <w:rFonts w:ascii="Times New Roman;serif" w:hAnsi="Times New Roman;serif"/>
          <w:b/>
          <w:i/>
          <w:color w:val="000000"/>
          <w:sz w:val="20"/>
        </w:rPr>
        <w:t>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Mr. Jeffrey Goldstein, Independent Chair of the Company’s Board of Directors, adopted a trading plan intended to satisfy the affirmative defense of Rule 10b5-1(c). Under the plan, which was adopted on December 3, 2025, Mr. Goldstein instructed his broker to purchase shares of FIS common stock each quarter in an amount approximately equal to his cash director fees, which are paid quarterly in equal installments. The aggregate purchase price for shares to be purchased under the plan is $225,000. The trading plan will expire on the earlier of January 22, 2027 or the date on which all purchases under the plan have been completed. Mr. Goldstein has informed the Company that he intends to continue to use the full amount of his cash director fees to purchase FIS common stock for so long as he remains a Director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9C.    </w:t>
      </w:r>
      <w:r>
        <w:rPr>
          <w:rFonts w:ascii="Times New Roman;serif" w:hAnsi="Times New Roman;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10-14.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Within 120 days after the close of its fiscal year, the Company intends to file with the SEC a definitive proxy statement pursuant to Regulation 14A of the Securities Exchange Act of 1934, as amended, which will include the matters required by these items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15.</w:t>
      </w:r>
      <w:r>
        <w:rPr>
          <w:color w:val="000000"/>
        </w:rPr>
        <w:t>    </w:t>
      </w:r>
      <w:r>
        <w:rPr>
          <w:rFonts w:ascii="Times New Roman;serif" w:hAnsi="Times New Roman;serif"/>
          <w:b/>
          <w:i/>
          <w:color w:val="000000"/>
          <w:sz w:val="20"/>
        </w:rPr>
        <w:t>Exhibits and Financial Statement Schedules</w:t>
      </w:r>
    </w:p>
    <w:p>
      <w:pPr>
        <w:pStyle w:val="TextBody"/>
        <w:bidi w:val="0"/>
        <w:spacing w:before="0" w:after="0"/>
        <w:ind w:left="0" w:right="0" w:firstLine="360"/>
        <w:jc w:val="left"/>
        <w:rPr/>
      </w:pPr>
      <w:r>
        <w:rPr/>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(1)Financial Statement Schedules: All schedules have been omitted because they are not applicable, not material or the required information is included in the consolidated financial statements or notes thereto.</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(2)Exhibits: The following is a complete list of exhibits included as part of this report, including those incorporated by reference. A list of those documents filed with this report is set forth on the Exhibit Index appearing elsewhere in this report and is incorporated by reference.</w:t>
      </w:r>
    </w:p>
    <w:tbl>
      <w:tblPr>
        <w:tblW w:w="10205" w:type="dxa"/>
        <w:jc w:val="left"/>
        <w:tblInd w:w="0" w:type="dxa"/>
        <w:tblLayout w:type="fixed"/>
        <w:tblCellMar>
          <w:top w:w="28" w:type="dxa"/>
          <w:left w:w="28" w:type="dxa"/>
          <w:bottom w:w="28" w:type="dxa"/>
          <w:right w:w="28" w:type="dxa"/>
        </w:tblCellMar>
      </w:tblPr>
      <w:tblGrid>
        <w:gridCol w:w="266"/>
        <w:gridCol w:w="234"/>
        <w:gridCol w:w="236"/>
        <w:gridCol w:w="1950"/>
        <w:gridCol w:w="1811"/>
        <w:gridCol w:w="1816"/>
        <w:gridCol w:w="219"/>
        <w:gridCol w:w="219"/>
        <w:gridCol w:w="183"/>
        <w:gridCol w:w="296"/>
        <w:gridCol w:w="296"/>
        <w:gridCol w:w="238"/>
        <w:gridCol w:w="240"/>
        <w:gridCol w:w="240"/>
        <w:gridCol w:w="241"/>
        <w:gridCol w:w="231"/>
        <w:gridCol w:w="231"/>
        <w:gridCol w:w="232"/>
        <w:gridCol w:w="433"/>
        <w:gridCol w:w="244"/>
        <w:gridCol w:w="34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2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57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57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6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2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Purchase and Sale Agreement, dated as of July 5, 2023, by and among Fidelity National Information Services, Inc., New Boost Holdco, LLC, GTCR W Aggregator LP, GTCR W Merger Sub LLC and GTCR W-2 Merger Sub LLC.</w:t>
              </w:r>
            </w:hyperlink>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7/11/2023</w:t>
            </w:r>
          </w:p>
        </w:tc>
        <w:tc>
          <w:tcPr>
            <w:tcW w:w="10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Amendment No. 1 to Purchase and Sale Agreement, dated as of January 30, 2024, by and among Fidelity National Information Services, Inc., New Boost Holdco, LLC, GTCR W Aggregator LP, GTCR W Merger Sub LLC, and GTCR W-2 Merger Sub LLC.</w:t>
              </w:r>
            </w:hyperlink>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2/1/2024</w:t>
            </w:r>
          </w:p>
        </w:tc>
        <w:tc>
          <w:tcPr>
            <w:tcW w:w="102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5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Transaction Agreement, dated as of</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April 17, 2025, by and among Fidelity</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National Information Services, Inc., and</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Worldpay Holdco, LLC.</w:t>
              </w:r>
            </w:hyperlink>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4/21/2025</w:t>
            </w:r>
          </w:p>
        </w:tc>
        <w:tc>
          <w:tcPr>
            <w:tcW w:w="10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5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00"/>
                  <w:sz w:val="20"/>
                  <w:u w:val="single"/>
                </w:rPr>
                <w:t>Amended and Restated Articles of Incorporation of Fidelity National Information Services, Inc.</w:t>
              </w:r>
            </w:hyperlink>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2/6/2006</w:t>
            </w:r>
          </w:p>
        </w:tc>
        <w:tc>
          <w:tcPr>
            <w:tcW w:w="102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5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00"/>
                  <w:sz w:val="20"/>
                  <w:u w:val="single"/>
                </w:rPr>
                <w:t>Amendment To Articles of Incorporation of Fidelity National Information Services, Inc.</w:t>
              </w:r>
            </w:hyperlink>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2/26/2013</w:t>
            </w:r>
          </w:p>
        </w:tc>
        <w:tc>
          <w:tcPr>
            <w:tcW w:w="10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5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00"/>
                  <w:sz w:val="20"/>
                  <w:u w:val="single"/>
                </w:rPr>
                <w:t>Amendment To Articles of Incorporation of Fidelity National Information Services, Inc.</w:t>
              </w:r>
            </w:hyperlink>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8/7/2014</w:t>
            </w:r>
          </w:p>
        </w:tc>
        <w:tc>
          <w:tcPr>
            <w:tcW w:w="102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5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00"/>
                  <w:sz w:val="20"/>
                  <w:u w:val="single"/>
                </w:rPr>
                <w:t>Articles of Amendment to the Articles of Incorporation of Fidelity National Information Services, Inc., Effective as of July 31, 2019.</w:t>
              </w:r>
            </w:hyperlink>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7/31/2019</w:t>
            </w:r>
          </w:p>
        </w:tc>
        <w:tc>
          <w:tcPr>
            <w:tcW w:w="10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5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00"/>
                  <w:sz w:val="20"/>
                  <w:u w:val="single"/>
                </w:rPr>
                <w:t>Sixth Amended and Restated Bylaws of Fidelity National Information Services, Inc.</w:t>
              </w:r>
            </w:hyperlink>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11/4/2024</w:t>
            </w:r>
          </w:p>
        </w:tc>
        <w:tc>
          <w:tcPr>
            <w:tcW w:w="102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57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00"/>
                  <w:sz w:val="20"/>
                  <w:u w:val="single"/>
                </w:rPr>
                <w:t>Form of certificate representing Fidelity National Information Services, Inc. Common Stock.</w:t>
              </w:r>
            </w:hyperlink>
          </w:p>
        </w:tc>
        <w:tc>
          <w:tcPr>
            <w:tcW w:w="6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S-3ASR</w:t>
            </w:r>
          </w:p>
        </w:tc>
        <w:tc>
          <w:tcPr>
            <w:tcW w:w="8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333-131593</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2/6/2006</w:t>
            </w:r>
          </w:p>
        </w:tc>
        <w:tc>
          <w:tcPr>
            <w:tcW w:w="102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5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00"/>
                  <w:sz w:val="20"/>
                  <w:u w:val="single"/>
                </w:rPr>
                <w:t>Indenture, dated as of April 15, 2013, among FIS, the Guarantors and The Bank of New York Mellon Trust Company, N.A., a national banking association, as trustee.</w:t>
              </w:r>
            </w:hyperlink>
          </w:p>
        </w:tc>
        <w:tc>
          <w:tcPr>
            <w:tcW w:w="6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4/15/2013</w:t>
            </w:r>
          </w:p>
        </w:tc>
        <w:tc>
          <w:tcPr>
            <w:tcW w:w="102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57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00"/>
                  <w:sz w:val="20"/>
                  <w:u w:val="single"/>
                </w:rPr>
                <w:t>Eleventh Supplemental Indenture, dated as of August 16, 2016 between FIS and The Bank of New York Mellon Trust Company, N.A., a national banking association, as trustee.</w:t>
              </w:r>
            </w:hyperlink>
          </w:p>
        </w:tc>
        <w:tc>
          <w:tcPr>
            <w:tcW w:w="6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8/16/2016</w:t>
            </w:r>
          </w:p>
        </w:tc>
        <w:tc>
          <w:tcPr>
            <w:tcW w:w="1026"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2040"/>
        <w:gridCol w:w="1769"/>
        <w:gridCol w:w="1775"/>
        <w:gridCol w:w="187"/>
        <w:gridCol w:w="187"/>
        <w:gridCol w:w="162"/>
        <w:gridCol w:w="293"/>
        <w:gridCol w:w="293"/>
        <w:gridCol w:w="241"/>
        <w:gridCol w:w="240"/>
        <w:gridCol w:w="240"/>
        <w:gridCol w:w="241"/>
        <w:gridCol w:w="242"/>
        <w:gridCol w:w="242"/>
        <w:gridCol w:w="243"/>
        <w:gridCol w:w="433"/>
        <w:gridCol w:w="263"/>
        <w:gridCol w:w="37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58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58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7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5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00"/>
                  <w:sz w:val="20"/>
                  <w:u w:val="single"/>
                </w:rPr>
                <w:t>Fifteenth Supplemental Indenture, dated as of May 16, 2018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5/16/2018</w:t>
            </w:r>
          </w:p>
        </w:tc>
        <w:tc>
          <w:tcPr>
            <w:tcW w:w="10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00"/>
                  <w:sz w:val="20"/>
                  <w:u w:val="single"/>
                </w:rPr>
                <w:t>Sixteenth Supplemental Indenture, dated as of May 16, 2018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5/16/2018</w:t>
            </w:r>
          </w:p>
        </w:tc>
        <w:tc>
          <w:tcPr>
            <w:tcW w:w="10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5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00"/>
                  <w:sz w:val="20"/>
                  <w:u w:val="single"/>
                </w:rPr>
                <w:t>Nineteenth Supplemental Indenture, dated as of May 21,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5/21/2019</w:t>
            </w:r>
          </w:p>
        </w:tc>
        <w:tc>
          <w:tcPr>
            <w:tcW w:w="10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5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00"/>
                  <w:sz w:val="20"/>
                  <w:u w:val="single"/>
                </w:rPr>
                <w:t>Twentieth Supplemental Indenture, dated as of May 21,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5/21/2019</w:t>
            </w:r>
          </w:p>
        </w:tc>
        <w:tc>
          <w:tcPr>
            <w:tcW w:w="10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5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00"/>
                  <w:sz w:val="20"/>
                  <w:u w:val="single"/>
                </w:rPr>
                <w:t>Twenty-First Supplemental Indenture, dated as of May 21,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7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5/21/2019</w:t>
            </w:r>
          </w:p>
        </w:tc>
        <w:tc>
          <w:tcPr>
            <w:tcW w:w="10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00"/>
                  <w:sz w:val="20"/>
                  <w:u w:val="single"/>
                </w:rPr>
                <w:t>Twenty-Fourth Supplemental Indenture, dated as of May 21,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5/21/2019</w:t>
            </w:r>
          </w:p>
        </w:tc>
        <w:tc>
          <w:tcPr>
            <w:tcW w:w="10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55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00"/>
                  <w:sz w:val="20"/>
                  <w:u w:val="single"/>
                </w:rPr>
                <w:t>Twenty-Fifth Supplemental Indenture, dated as of May 21,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7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5/21/2019</w:t>
            </w:r>
          </w:p>
        </w:tc>
        <w:tc>
          <w:tcPr>
            <w:tcW w:w="10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55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00"/>
                  <w:sz w:val="20"/>
                  <w:u w:val="single"/>
                </w:rPr>
                <w:t>Twenty-Seventh Supplemental Indenture, dated as of December 3,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12/3/2019</w:t>
            </w:r>
          </w:p>
        </w:tc>
        <w:tc>
          <w:tcPr>
            <w:tcW w:w="10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55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00"/>
                  <w:sz w:val="20"/>
                  <w:u w:val="single"/>
                </w:rPr>
                <w:t>Twenty-Eighth Supplemental Indenture, dated as of December 3,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2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12/3/2019</w:t>
            </w:r>
          </w:p>
        </w:tc>
        <w:tc>
          <w:tcPr>
            <w:tcW w:w="10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55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00"/>
                  <w:sz w:val="20"/>
                  <w:u w:val="single"/>
                </w:rPr>
                <w:t>Twenty-Ninth Supplemental Indenture, dated as of December 3, 2019 between FIS and The Bank of New York Mellon Trust Company, N.A., a national banking association, as trustee.</w:t>
              </w:r>
            </w:hyperlink>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12/3/2019</w:t>
            </w:r>
          </w:p>
        </w:tc>
        <w:tc>
          <w:tcPr>
            <w:tcW w:w="10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55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00"/>
                  <w:sz w:val="20"/>
                  <w:u w:val="single"/>
                </w:rPr>
                <w:t>Thirty-Second Supplemental Indenture, dated as of March 2, 2021 between FIS and The Bank of New York Mellon Trust Company, N.A., a national banking association as trustee.</w:t>
              </w:r>
            </w:hyperlink>
          </w:p>
        </w:tc>
        <w:tc>
          <w:tcPr>
            <w:tcW w:w="5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2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2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3/2/2021</w:t>
            </w:r>
          </w:p>
        </w:tc>
        <w:tc>
          <w:tcPr>
            <w:tcW w:w="1074"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2031"/>
        <w:gridCol w:w="1815"/>
        <w:gridCol w:w="1821"/>
        <w:gridCol w:w="187"/>
        <w:gridCol w:w="187"/>
        <w:gridCol w:w="160"/>
        <w:gridCol w:w="289"/>
        <w:gridCol w:w="289"/>
        <w:gridCol w:w="233"/>
        <w:gridCol w:w="240"/>
        <w:gridCol w:w="240"/>
        <w:gridCol w:w="241"/>
        <w:gridCol w:w="233"/>
        <w:gridCol w:w="233"/>
        <w:gridCol w:w="234"/>
        <w:gridCol w:w="433"/>
        <w:gridCol w:w="248"/>
        <w:gridCol w:w="35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6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6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0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56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00"/>
                  <w:sz w:val="20"/>
                  <w:u w:val="single"/>
                </w:rPr>
                <w:t>Thirty-Third Supplemental Indenture, dated as of March 2, 2021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3/2/2021</w:t>
            </w:r>
          </w:p>
        </w:tc>
        <w:tc>
          <w:tcPr>
            <w:tcW w:w="103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56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00"/>
                  <w:sz w:val="20"/>
                  <w:u w:val="single"/>
                </w:rPr>
                <w:t>Thirty-Fourth Supplemental Indenture, dated as of March 2, 2021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3/2/2021</w:t>
            </w:r>
          </w:p>
        </w:tc>
        <w:tc>
          <w:tcPr>
            <w:tcW w:w="103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56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00"/>
                  <w:sz w:val="20"/>
                  <w:u w:val="single"/>
                </w:rPr>
                <w:t>Thirty-Fifth Supplemental Indenture, dated as of March 2, 2021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3/2/2021</w:t>
            </w:r>
          </w:p>
        </w:tc>
        <w:tc>
          <w:tcPr>
            <w:tcW w:w="103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56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00"/>
                  <w:sz w:val="20"/>
                  <w:u w:val="single"/>
                </w:rPr>
                <w:t>Thirty-Sixth Supplemental Indenture, dated as of July 13, 2022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7/13/2022</w:t>
            </w:r>
          </w:p>
        </w:tc>
        <w:tc>
          <w:tcPr>
            <w:tcW w:w="103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56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00"/>
                  <w:sz w:val="20"/>
                  <w:u w:val="single"/>
                </w:rPr>
                <w:t>Thirty-Seventh Supplemental Indenture, dated as of July 13, 2022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7/13/2022</w:t>
            </w:r>
          </w:p>
        </w:tc>
        <w:tc>
          <w:tcPr>
            <w:tcW w:w="103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56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00"/>
                  <w:sz w:val="20"/>
                  <w:u w:val="single"/>
                </w:rPr>
                <w:t>Thirty-Eighth Supplemental Indenture, dated as of July 13, 2022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7/13/2022</w:t>
            </w:r>
          </w:p>
        </w:tc>
        <w:tc>
          <w:tcPr>
            <w:tcW w:w="103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56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00"/>
                  <w:sz w:val="20"/>
                  <w:u w:val="single"/>
                </w:rPr>
                <w:t>Thirty-Ninth Supplemental Indenture, dated as of July 13, 2022 between FIS and The Bank of New York Mellon Trust Company, N.A., a national banking association as trustee.</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7/13/2022</w:t>
            </w:r>
          </w:p>
        </w:tc>
        <w:tc>
          <w:tcPr>
            <w:tcW w:w="103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56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00"/>
                  <w:sz w:val="20"/>
                  <w:u w:val="single"/>
                </w:rPr>
                <w:t>Description of the Company's Common Stock registered pursuant to Section 12 of the Securities Exchange Act of 1934.</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2/20/2020</w:t>
            </w:r>
          </w:p>
        </w:tc>
        <w:tc>
          <w:tcPr>
            <w:tcW w:w="103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56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00"/>
                  <w:sz w:val="20"/>
                  <w:u w:val="single"/>
                </w:rPr>
                <w:t>Description of the Company's 1.500% Senior Notes Due 2027, 2.000% Senior Notes Due 2030, 2.950% Senior Notes Due 2039 and 3.360% Senior Notes Due 2031 registered pursuant to Section 12 of the Securities Exchange Act of 1934.</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2/26/2024</w:t>
            </w:r>
          </w:p>
        </w:tc>
        <w:tc>
          <w:tcPr>
            <w:tcW w:w="103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566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hyperlink w:anchor="exhibit424fisexhibitdescri.htm">
              <w:r>
                <w:rPr>
                  <w:rStyle w:val="InternetLink"/>
                  <w:rFonts w:ascii="Times New Roman;serif" w:hAnsi="Times New Roman;serif"/>
                  <w:b w:val="false"/>
                  <w:color w:val="000000"/>
                  <w:sz w:val="20"/>
                  <w:u w:val="single"/>
                </w:rPr>
                <w:t>Description of the Company's 1.000% Senior Notes Due 2028 and 2.250% Senior Notes Due 2029, registered pursuant to Section 12 of the Securities Exchange Act of 1934.</w:t>
              </w:r>
            </w:hyperlink>
          </w:p>
        </w:tc>
        <w:tc>
          <w:tcPr>
            <w:tcW w:w="53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0"/>
              <w:jc w:val="left"/>
              <w:rPr/>
            </w:pPr>
            <w:r>
              <w:rPr/>
            </w:r>
          </w:p>
        </w:tc>
        <w:tc>
          <w:tcPr>
            <w:tcW w:w="81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0"/>
              <w:jc w:val="left"/>
              <w:rPr/>
            </w:pPr>
            <w:r>
              <w:rPr/>
            </w:r>
          </w:p>
        </w:tc>
        <w:tc>
          <w:tcPr>
            <w:tcW w:w="72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0"/>
              <w:jc w:val="left"/>
              <w:rPr/>
            </w:pPr>
            <w:r>
              <w:rPr/>
            </w:r>
          </w:p>
        </w:tc>
        <w:tc>
          <w:tcPr>
            <w:tcW w:w="70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0"/>
              <w:jc w:val="right"/>
              <w:rPr/>
            </w:pPr>
            <w:r>
              <w:rPr/>
            </w:r>
          </w:p>
        </w:tc>
        <w:tc>
          <w:tcPr>
            <w:tcW w:w="103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2050"/>
        <w:gridCol w:w="1739"/>
        <w:gridCol w:w="1730"/>
        <w:gridCol w:w="210"/>
        <w:gridCol w:w="210"/>
        <w:gridCol w:w="206"/>
        <w:gridCol w:w="297"/>
        <w:gridCol w:w="297"/>
        <w:gridCol w:w="241"/>
        <w:gridCol w:w="248"/>
        <w:gridCol w:w="248"/>
        <w:gridCol w:w="249"/>
        <w:gridCol w:w="236"/>
        <w:gridCol w:w="236"/>
        <w:gridCol w:w="237"/>
        <w:gridCol w:w="433"/>
        <w:gridCol w:w="247"/>
        <w:gridCol w:w="35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3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51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5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6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00"/>
                  <w:sz w:val="20"/>
                  <w:u w:val="single"/>
                </w:rPr>
                <w:t xml:space="preserve">Certegy Inc. Deferred Compensation Plan, effective as of June 15, 2001. </w:t>
              </w:r>
            </w:hyperlink>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10-K405</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3/25/2002</w:t>
            </w:r>
          </w:p>
        </w:tc>
        <w:tc>
          <w:tcPr>
            <w:tcW w:w="103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5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00"/>
                  <w:sz w:val="20"/>
                  <w:u w:val="single"/>
                </w:rPr>
                <w:t>Grantor Trust Agreement, dated as of July 8, 2001, between Certegy Inc. and Wachovia Bank, N.A.</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10-K405</w:t>
            </w:r>
          </w:p>
        </w:tc>
        <w:tc>
          <w:tcPr>
            <w:tcW w:w="8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7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3/25/2002</w:t>
            </w:r>
          </w:p>
        </w:tc>
        <w:tc>
          <w:tcPr>
            <w:tcW w:w="103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00"/>
                  <w:sz w:val="20"/>
                  <w:u w:val="single"/>
                </w:rPr>
                <w:t>Grantor Trust Agreement, dated as of July 8, 2001 and amended and restated as of December 5, 2003, between Certegy Inc. and Wachovia Bank, N.A.</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10.15(a)</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2/17/2004</w:t>
            </w:r>
          </w:p>
        </w:tc>
        <w:tc>
          <w:tcPr>
            <w:tcW w:w="103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5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"https://www.sec.gov/Archives/edgar/data/1136893/000089256906001102/a22063a1sv4za.htm" \l "248"</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Fidelity National Information Services, Inc. Annual Incentive Plan, effective as of October 23, 2006.</w:t>
            </w:r>
            <w:r>
              <w:rPr>
                <w:rStyle w:val="InternetLink"/>
                <w:sz w:val="20"/>
                <w:u w:val="single"/>
                <w:b w:val="false"/>
                <w:rFonts w:ascii="Times New Roman;serif" w:hAnsi="Times New Roman;serif"/>
                <w:color w:val="000000"/>
              </w:rPr>
              <w:fldChar w:fldCharType="end"/>
            </w:r>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8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333-135845</w:t>
            </w:r>
          </w:p>
        </w:tc>
        <w:tc>
          <w:tcPr>
            <w:tcW w:w="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Annex D</w:t>
            </w:r>
          </w:p>
        </w:tc>
        <w:tc>
          <w:tcPr>
            <w:tcW w:w="7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9/19/2006</w:t>
            </w:r>
          </w:p>
        </w:tc>
        <w:tc>
          <w:tcPr>
            <w:tcW w:w="103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00"/>
                  <w:sz w:val="20"/>
                  <w:u w:val="single"/>
                </w:rPr>
                <w:t>Employment Agreement effective as of February 7, 2022, between Fidelity National Information Services, Inc., and Caroline Tsai.</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2/27/2023</w:t>
            </w:r>
          </w:p>
        </w:tc>
        <w:tc>
          <w:tcPr>
            <w:tcW w:w="103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5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00"/>
                  <w:sz w:val="20"/>
                  <w:u w:val="single"/>
                </w:rPr>
                <w:t>Form of Non-Statutory Stock Option Award under Fidelity National Information Services, Inc. amended and restated 2008 Omnibus Incentive Plan for grants made in 2016.</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7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2/23/2017</w:t>
            </w:r>
          </w:p>
        </w:tc>
        <w:tc>
          <w:tcPr>
            <w:tcW w:w="103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00"/>
                  <w:sz w:val="20"/>
                  <w:u w:val="single"/>
                </w:rPr>
                <w:t>Form of Non-Statutory Stock Option Grant for Directors under Fidelity National Information Services, Inc. amended and restated 2008 Omnibus Incentive Plan for grants made in 2017.</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2/21/2019</w:t>
            </w:r>
          </w:p>
        </w:tc>
        <w:tc>
          <w:tcPr>
            <w:tcW w:w="103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5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00"/>
                  <w:sz w:val="20"/>
                  <w:u w:val="single"/>
                </w:rPr>
                <w:t>Form of Non-Statutory Stock Option Grant for Employees under Fidelity National Information Services, Inc. amended and restated 2008 Omnibus Incentive Plan for grants made in 2017.</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7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2/21/2019</w:t>
            </w:r>
          </w:p>
        </w:tc>
        <w:tc>
          <w:tcPr>
            <w:tcW w:w="103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00"/>
                  <w:sz w:val="20"/>
                  <w:u w:val="single"/>
                </w:rPr>
                <w:t>Form of Stock Option Grant for Employees under Fidelity National Information Services, Inc. amended and restated 2008 Omnibus Incentive Plan for grants made in 2018.</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2/21/2019</w:t>
            </w:r>
          </w:p>
        </w:tc>
        <w:tc>
          <w:tcPr>
            <w:tcW w:w="103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55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00"/>
                  <w:sz w:val="20"/>
                  <w:u w:val="single"/>
                </w:rPr>
                <w:t>Seventh Amendment and Restatement Agreement, dated as of September 21, 2018, by and among Fidelity National Information Services, Inc., each lender party thereto and JP Morgan Chase Bank N.A., as Administrative Agent.</w:t>
              </w:r>
            </w:hyperlink>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7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9/24/2018</w:t>
            </w:r>
          </w:p>
        </w:tc>
        <w:tc>
          <w:tcPr>
            <w:tcW w:w="103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55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"https://www.sec.gov/Archives/edgar/data/1136893/000119312518124787/d419228ddef14a.htm" \l "tx419228_14"</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Fidelity National Information Services, Inc. 2008 Omnibus Incentive Plan, as amended and restated effective May 30, 2018.</w:t>
            </w:r>
            <w:r>
              <w:rPr>
                <w:rStyle w:val="InternetLink"/>
                <w:sz w:val="20"/>
                <w:u w:val="single"/>
                <w:b w:val="false"/>
                <w:rFonts w:ascii="Times New Roman;serif" w:hAnsi="Times New Roman;serif"/>
                <w:color w:val="000000"/>
              </w:rPr>
              <w:fldChar w:fldCharType="end"/>
            </w:r>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8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Annex A</w:t>
            </w:r>
          </w:p>
        </w:tc>
        <w:tc>
          <w:tcPr>
            <w:tcW w:w="7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4/20/2018</w:t>
            </w:r>
          </w:p>
        </w:tc>
        <w:tc>
          <w:tcPr>
            <w:tcW w:w="103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551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00"/>
                  <w:sz w:val="20"/>
                  <w:u w:val="single"/>
                </w:rPr>
                <w:t>Amendment to Fidelity National Information Services, Inc. 2008 Omnibus Incentive Plan.</w:t>
              </w:r>
            </w:hyperlink>
            <w:r>
              <w:rPr>
                <w:color w:val="000000"/>
              </w:rPr>
              <w:t xml:space="preserve"> </w:t>
            </w:r>
            <w:r>
              <w:rPr>
                <w:rFonts w:ascii="Times New Roman;serif" w:hAnsi="Times New Roman;serif"/>
                <w:b w:val="false"/>
                <w:color w:val="000000"/>
                <w:sz w:val="20"/>
              </w:rPr>
              <w:t>(1)</w:t>
            </w:r>
          </w:p>
        </w:tc>
        <w:tc>
          <w:tcPr>
            <w:tcW w:w="6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3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70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10/29/2020</w:t>
            </w:r>
          </w:p>
        </w:tc>
        <w:tc>
          <w:tcPr>
            <w:tcW w:w="1035"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1877"/>
        <w:gridCol w:w="1803"/>
        <w:gridCol w:w="1809"/>
        <w:gridCol w:w="187"/>
        <w:gridCol w:w="187"/>
        <w:gridCol w:w="162"/>
        <w:gridCol w:w="292"/>
        <w:gridCol w:w="292"/>
        <w:gridCol w:w="240"/>
        <w:gridCol w:w="274"/>
        <w:gridCol w:w="274"/>
        <w:gridCol w:w="278"/>
        <w:gridCol w:w="241"/>
        <w:gridCol w:w="241"/>
        <w:gridCol w:w="242"/>
        <w:gridCol w:w="433"/>
        <w:gridCol w:w="262"/>
        <w:gridCol w:w="37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4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48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7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54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00"/>
                  <w:sz w:val="20"/>
                  <w:u w:val="single"/>
                </w:rPr>
                <w:t>Form of Stock Option Grant under Fidelity National Information Services, Inc. amended and restated 2008 Omnibus Incentive Plan for grants made in March 2019.</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2/20/2020</w:t>
            </w:r>
          </w:p>
        </w:tc>
        <w:tc>
          <w:tcPr>
            <w:tcW w:w="107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54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00"/>
                  <w:sz w:val="20"/>
                  <w:u w:val="single"/>
                </w:rPr>
                <w:t>Form of Stock Option Grant for United States Employees under Worldpay, Inc. 2012 Equity Incentive Plan for grants made in 2019.</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7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2/20/2020</w:t>
            </w:r>
          </w:p>
        </w:tc>
        <w:tc>
          <w:tcPr>
            <w:tcW w:w="107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54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00"/>
                  <w:sz w:val="20"/>
                  <w:u w:val="single"/>
                </w:rPr>
                <w:t>Form of Stock Option Grant for United Kingdom Employees under Worldpay, Inc. 2012 Equity Incentive Plan for grants made in 2019.</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2/20/2020</w:t>
            </w:r>
          </w:p>
        </w:tc>
        <w:tc>
          <w:tcPr>
            <w:tcW w:w="107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54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00"/>
                  <w:sz w:val="20"/>
                  <w:u w:val="single"/>
                </w:rPr>
                <w:t xml:space="preserve">Form of Stock Option Grant Notice and Option Agreement under the Worldpay, Inc. 2012 Equity Incentive Plan for grants made in 2013 through 2017. </w:t>
              </w:r>
            </w:hyperlink>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001-35462</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7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5/6/2013</w:t>
            </w:r>
          </w:p>
        </w:tc>
        <w:tc>
          <w:tcPr>
            <w:tcW w:w="107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54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00"/>
                  <w:sz w:val="20"/>
                  <w:u w:val="single"/>
                </w:rPr>
                <w:t>Form of Stock Option Grant Notice and Stock Option Award Agreement for U.S. Employees under the Worldpay, Inc. 2012 Equity Incentive Plan for grants made in 2018 and 2019.</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001-35462</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10.16.14</w:t>
            </w:r>
          </w:p>
        </w:tc>
        <w:tc>
          <w:tcPr>
            <w:tcW w:w="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2/28/2018</w:t>
            </w:r>
          </w:p>
        </w:tc>
        <w:tc>
          <w:tcPr>
            <w:tcW w:w="107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54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00"/>
                  <w:sz w:val="20"/>
                  <w:u w:val="single"/>
                </w:rPr>
                <w:t>Worldpay, Inc.2012 Equity Incentive Plan.</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001-35462</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7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2/28/2018</w:t>
            </w:r>
          </w:p>
        </w:tc>
        <w:tc>
          <w:tcPr>
            <w:tcW w:w="107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54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00"/>
                  <w:sz w:val="20"/>
                  <w:u w:val="single"/>
                </w:rPr>
                <w:t>Form of Deferred Restricted Stock Unit Grant to Director under Fidelity National Information Services, Inc. amended and restated 2008 Omnibus Incentive Plan for grants made in May 2020.</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2/18/2021</w:t>
            </w:r>
          </w:p>
        </w:tc>
        <w:tc>
          <w:tcPr>
            <w:tcW w:w="107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54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00"/>
                  <w:sz w:val="20"/>
                  <w:u w:val="single"/>
                </w:rPr>
                <w:t>Form of Stock Option Grant under Fidelity National Information Services, Inc. amended and restated 2008 Omnibus Incentive Plan for grants made in March 2020.</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7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2/18/2021</w:t>
            </w:r>
          </w:p>
        </w:tc>
        <w:tc>
          <w:tcPr>
            <w:tcW w:w="107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54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00"/>
                  <w:sz w:val="20"/>
                  <w:u w:val="single"/>
                </w:rPr>
                <w:t xml:space="preserve">Fidelity National Information Services, Inc. Qualified Retirement Equity Program effective January 1, 2021. </w:t>
              </w:r>
            </w:hyperlink>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5/6/2021</w:t>
            </w:r>
          </w:p>
        </w:tc>
        <w:tc>
          <w:tcPr>
            <w:tcW w:w="107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54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00"/>
                  <w:sz w:val="20"/>
                  <w:u w:val="single"/>
                </w:rPr>
                <w:t>Form of Stock Option Grant under Fidelity National Information Services, Inc. amended and restated 2008 Omnibus Incentive Plan for grants made beginning in March 2021.</w:t>
              </w:r>
            </w:hyperlink>
            <w:r>
              <w:rPr>
                <w:color w:val="000000"/>
              </w:rPr>
              <w:t xml:space="preserve"> </w:t>
            </w:r>
            <w:r>
              <w:rPr>
                <w:rFonts w:ascii="Times New Roman;serif" w:hAnsi="Times New Roman;serif"/>
                <w:b w:val="false"/>
                <w:color w:val="000000"/>
                <w:sz w:val="20"/>
              </w:rPr>
              <w:t>(1)</w:t>
            </w:r>
          </w:p>
        </w:tc>
        <w:tc>
          <w:tcPr>
            <w:tcW w:w="5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7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5/6/2021</w:t>
            </w:r>
          </w:p>
        </w:tc>
        <w:tc>
          <w:tcPr>
            <w:tcW w:w="107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548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00"/>
                  <w:sz w:val="20"/>
                  <w:u w:val="single"/>
                </w:rPr>
                <w:t>Amended and Restated Employment Agreement dated as of October 17, 2022 between Fidelity National Information Services, Inc., and Stephanie Ferris.</w:t>
              </w:r>
            </w:hyperlink>
            <w:r>
              <w:rPr>
                <w:rFonts w:ascii="Times New Roman;serif" w:hAnsi="Times New Roman;serif"/>
                <w:b w:val="false"/>
                <w:color w:val="000000"/>
                <w:sz w:val="20"/>
              </w:rPr>
              <w:t>(1)</w:t>
            </w:r>
          </w:p>
        </w:tc>
        <w:tc>
          <w:tcPr>
            <w:tcW w:w="5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2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82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72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11/4/2022</w:t>
            </w:r>
          </w:p>
        </w:tc>
        <w:tc>
          <w:tcPr>
            <w:tcW w:w="1070"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1927"/>
        <w:gridCol w:w="1844"/>
        <w:gridCol w:w="1851"/>
        <w:gridCol w:w="207"/>
        <w:gridCol w:w="207"/>
        <w:gridCol w:w="180"/>
        <w:gridCol w:w="287"/>
        <w:gridCol w:w="287"/>
        <w:gridCol w:w="229"/>
        <w:gridCol w:w="247"/>
        <w:gridCol w:w="247"/>
        <w:gridCol w:w="248"/>
        <w:gridCol w:w="229"/>
        <w:gridCol w:w="229"/>
        <w:gridCol w:w="230"/>
        <w:gridCol w:w="433"/>
        <w:gridCol w:w="241"/>
        <w:gridCol w:w="34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2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6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6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0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6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5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00"/>
                  <w:sz w:val="20"/>
                  <w:u w:val="single"/>
                </w:rPr>
                <w:t xml:space="preserve">Employment Agreement, by and between Fidelity National Information Services, Inc. and James Kehoe. </w:t>
              </w:r>
            </w:hyperlink>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8/22/2023</w:t>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5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"https://www.sec.gov/Archives/edgar/data/1136893/000119312522106344/d398446ddef14a.htm" \l "tx398446_16"</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Fidelity National Information Services, Inc. Employee Stock Purchase Plan, effective May 25, 2022.</w:t>
            </w:r>
            <w:r>
              <w:rPr>
                <w:rStyle w:val="InternetLink"/>
                <w:sz w:val="20"/>
                <w:u w:val="single"/>
                <w:b w:val="false"/>
                <w:rFonts w:ascii="Times New Roman;serif" w:hAnsi="Times New Roman;serif"/>
                <w:color w:val="000000"/>
              </w:rPr>
              <w:fldChar w:fldCharType="end"/>
            </w:r>
            <w:r>
              <w:rPr>
                <w:color w:val="000000"/>
              </w:rPr>
              <w:t xml:space="preserve"> </w:t>
            </w:r>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Annex B</w:t>
            </w:r>
          </w:p>
        </w:tc>
        <w:tc>
          <w:tcPr>
            <w:tcW w:w="6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4/15/2022</w:t>
            </w:r>
          </w:p>
        </w:tc>
        <w:tc>
          <w:tcPr>
            <w:tcW w:w="102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5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"https://www.sec.gov/Archives/edgar/data/1136893/000119312522106344/d398446ddef14a.htm" \l "tx398446_15"</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Fidelity National Information Services, Inc. 2022 Omnibus Incentive Plan.</w:t>
            </w:r>
            <w:r>
              <w:rPr>
                <w:rStyle w:val="InternetLink"/>
                <w:sz w:val="20"/>
                <w:u w:val="single"/>
                <w:b w:val="false"/>
                <w:rFonts w:ascii="Times New Roman;serif" w:hAnsi="Times New Roman;serif"/>
                <w:color w:val="000000"/>
              </w:rPr>
              <w:fldChar w:fldCharType="end"/>
            </w:r>
            <w:r>
              <w:rPr>
                <w:color w:val="000000"/>
              </w:rPr>
              <w:t xml:space="preserve"> </w:t>
            </w:r>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14A</w:t>
            </w:r>
          </w:p>
        </w:tc>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Annex A</w:t>
            </w:r>
          </w:p>
        </w:tc>
        <w:tc>
          <w:tcPr>
            <w:tcW w:w="6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4/15/2022</w:t>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5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00"/>
                  <w:sz w:val="20"/>
                  <w:u w:val="single"/>
                </w:rPr>
                <w:t xml:space="preserve">Form of Stock Option Grant under Fidelity National Information Services, Inc. 2022 Omnibus Incentive Plan for grants made beginning in March 2023. </w:t>
              </w:r>
            </w:hyperlink>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5/2/2023</w:t>
            </w:r>
          </w:p>
        </w:tc>
        <w:tc>
          <w:tcPr>
            <w:tcW w:w="102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5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00"/>
                  <w:sz w:val="20"/>
                  <w:u w:val="single"/>
                </w:rPr>
                <w:t>Form of Performance Stock Unit Grant under Fidelity National Information Services, Inc. 2022 Omnibus Incentive Plan for grants made beginning in March 2023.</w:t>
              </w:r>
            </w:hyperlink>
            <w:r>
              <w:rPr>
                <w:color w:val="000000"/>
              </w:rPr>
              <w:t xml:space="preserve"> </w:t>
            </w:r>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5/2/2023</w:t>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5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00"/>
                  <w:sz w:val="20"/>
                  <w:u w:val="single"/>
                </w:rPr>
                <w:t>Form of Restricted Stock Unit Grant under Fidelity National Information Services, Inc. 2022 Omnibus Incentive Plan for grants made beginning in March 2023.</w:t>
              </w:r>
            </w:hyperlink>
            <w:r>
              <w:rPr>
                <w:color w:val="000000"/>
              </w:rPr>
              <w:t xml:space="preserve"> </w:t>
            </w:r>
            <w:r>
              <w:rPr>
                <w:rFonts w:ascii="Times New Roman;serif" w:hAnsi="Times New Roman;serif"/>
                <w:b w:val="false"/>
                <w:color w:val="000000"/>
                <w:sz w:val="20"/>
              </w:rPr>
              <w:t>(1)</w:t>
            </w:r>
          </w:p>
        </w:tc>
        <w:tc>
          <w:tcPr>
            <w:tcW w:w="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5/2/2023</w:t>
            </w:r>
          </w:p>
        </w:tc>
        <w:tc>
          <w:tcPr>
            <w:tcW w:w="102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5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00"/>
                  <w:sz w:val="20"/>
                  <w:u w:val="single"/>
                </w:rPr>
                <w:t>Limited Consulting Services Engagement Agreement between Lucido Advisory Services, LLC and Fidelity Information Services, LLC, effective March 1, 2024. (1)</w:t>
              </w:r>
            </w:hyperlink>
          </w:p>
        </w:tc>
        <w:tc>
          <w:tcPr>
            <w:tcW w:w="5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2/23/2024</w:t>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5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00"/>
                  <w:sz w:val="20"/>
                  <w:u w:val="single"/>
                </w:rPr>
                <w:t xml:space="preserve">Fidelity National Information Services Inc. Amended and Restated Qualified Retirement Equity Program effective January 30, 2024. </w:t>
              </w:r>
            </w:hyperlink>
          </w:p>
        </w:tc>
        <w:tc>
          <w:tcPr>
            <w:tcW w:w="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5/7/2024</w:t>
            </w:r>
          </w:p>
        </w:tc>
        <w:tc>
          <w:tcPr>
            <w:tcW w:w="102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5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00"/>
                  <w:sz w:val="20"/>
                  <w:u w:val="single"/>
                </w:rPr>
                <w:t>Form of Performance Stock Unit Award Agreement for the Chief Executive Officer and Chief Financial Officer (including total shareholder return modifier) under the Fidelity National Information Services, Inc. 2022 Omnibus Incentive Plan for grants made in fiscal 2024. (1)</w:t>
              </w:r>
            </w:hyperlink>
          </w:p>
        </w:tc>
        <w:tc>
          <w:tcPr>
            <w:tcW w:w="5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8/6/2024</w:t>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5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00"/>
                  <w:sz w:val="20"/>
                  <w:u w:val="single"/>
                </w:rPr>
                <w:t>Form of Performance Stock Unit Award Agreement for executive officers (other than the Chief Executive Officer and Chief Financial Officer) under the Fidelity National Information Services, Inc. 2022 Omnibus Incentive Plan for grants made in fiscal 2024. (1)</w:t>
              </w:r>
            </w:hyperlink>
          </w:p>
        </w:tc>
        <w:tc>
          <w:tcPr>
            <w:tcW w:w="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8/6/2024</w:t>
            </w:r>
          </w:p>
        </w:tc>
        <w:tc>
          <w:tcPr>
            <w:tcW w:w="102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562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00"/>
                  <w:sz w:val="20"/>
                  <w:u w:val="single"/>
                </w:rPr>
                <w:t>Form of Restricted Stock Unit Award Agreement for executive officers under the Fidelity National Information Services, Inc. 2022 Omnibus Incentive Plan for grants made in fiscal 2024. (1)</w:t>
              </w:r>
            </w:hyperlink>
          </w:p>
        </w:tc>
        <w:tc>
          <w:tcPr>
            <w:tcW w:w="5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4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8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8/6/2024</w:t>
            </w:r>
          </w:p>
        </w:tc>
        <w:tc>
          <w:tcPr>
            <w:tcW w:w="1020"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2048"/>
        <w:gridCol w:w="1833"/>
        <w:gridCol w:w="1839"/>
        <w:gridCol w:w="187"/>
        <w:gridCol w:w="187"/>
        <w:gridCol w:w="159"/>
        <w:gridCol w:w="287"/>
        <w:gridCol w:w="287"/>
        <w:gridCol w:w="227"/>
        <w:gridCol w:w="240"/>
        <w:gridCol w:w="240"/>
        <w:gridCol w:w="241"/>
        <w:gridCol w:w="227"/>
        <w:gridCol w:w="227"/>
        <w:gridCol w:w="229"/>
        <w:gridCol w:w="433"/>
        <w:gridCol w:w="238"/>
        <w:gridCol w:w="34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1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7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7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1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57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00"/>
                  <w:sz w:val="20"/>
                  <w:u w:val="single"/>
                </w:rPr>
                <w:t>Form of Restricted Stock Unit Award Agreement for executive officers under the Fidelity National Information Services, Inc. 2022 Omnibus Incentive Plan for grants made in fiscal 2024 (including amendment to fiscal 2022 PSU Award Agreement). (1)</w:t>
              </w:r>
            </w:hyperlink>
          </w:p>
        </w:tc>
        <w:tc>
          <w:tcPr>
            <w:tcW w:w="53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6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8/6/2024</w:t>
            </w:r>
          </w:p>
        </w:tc>
        <w:tc>
          <w:tcPr>
            <w:tcW w:w="101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57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00"/>
                  <w:sz w:val="20"/>
                  <w:u w:val="single"/>
                </w:rPr>
                <w:t>Form of Restricted Stock Unit Award Agreement for executive officers under the Fidelity National Information Services, Inc. 2022 Omnibus Incentive Plan for grants made in fiscal 2024 (including amendments to fiscal 2022 PSU Award Agreements). (1)</w:t>
              </w:r>
            </w:hyperlink>
          </w:p>
        </w:tc>
        <w:tc>
          <w:tcPr>
            <w:tcW w:w="53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6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8/6/2024</w:t>
            </w:r>
          </w:p>
        </w:tc>
        <w:tc>
          <w:tcPr>
            <w:tcW w:w="101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57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00"/>
                  <w:sz w:val="20"/>
                  <w:u w:val="single"/>
                </w:rPr>
                <w:t>Ninth Amendment and Restatement Agreement, dated as of November 6, 2025, by and among FIS, JPMorgan Chase Bank, N.A. , as administrative agent, and the lenders party thereto, including the form of the Ninth Amended and Restated Credit Agreement attached as Annex A thereto.</w:t>
              </w:r>
            </w:hyperlink>
          </w:p>
        </w:tc>
        <w:tc>
          <w:tcPr>
            <w:tcW w:w="53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11/6/2025</w:t>
            </w:r>
          </w:p>
        </w:tc>
        <w:tc>
          <w:tcPr>
            <w:tcW w:w="101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57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00"/>
                  <w:sz w:val="20"/>
                  <w:u w:val="single"/>
                </w:rPr>
                <w:t>Revolving Credit Agreement, dated as of November 6, 2025, by and among FIS, JPMorgan Chase Bank, N.A., as administrative agent, and the lenders party thereto.</w:t>
              </w:r>
            </w:hyperlink>
          </w:p>
        </w:tc>
        <w:tc>
          <w:tcPr>
            <w:tcW w:w="53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11/6/2025</w:t>
            </w:r>
          </w:p>
        </w:tc>
        <w:tc>
          <w:tcPr>
            <w:tcW w:w="101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57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80"/>
                  <w:sz w:val="20"/>
                  <w:u w:val="single"/>
                </w:rPr>
                <w:t>Form of Restricted Stock Unit Grant</w:t>
              </w:r>
            </w:hyperlink>
            <w:hyperlink r:id="rId75">
              <w:r>
                <w:rPr>
                  <w:rStyle w:val="InternetLink"/>
                  <w:rFonts w:ascii="Times New Roman;serif" w:hAnsi="Times New Roman;serif"/>
                  <w:b w:val="false"/>
                  <w:color w:val="000080"/>
                  <w:sz w:val="20"/>
                  <w:u w:val="single"/>
                </w:rPr>
                <w:t xml:space="preserve"> </w:t>
              </w:r>
            </w:hyperlink>
            <w:hyperlink r:id="rId76">
              <w:r>
                <w:rPr>
                  <w:rStyle w:val="InternetLink"/>
                  <w:rFonts w:ascii="Times New Roman;serif" w:hAnsi="Times New Roman;serif"/>
                  <w:b w:val="false"/>
                  <w:color w:val="000080"/>
                  <w:sz w:val="20"/>
                  <w:u w:val="single"/>
                </w:rPr>
                <w:t>under Fidelity National Information</w:t>
              </w:r>
            </w:hyperlink>
            <w:hyperlink r:id="rId77">
              <w:r>
                <w:rPr>
                  <w:rStyle w:val="InternetLink"/>
                  <w:rFonts w:ascii="Times New Roman;serif" w:hAnsi="Times New Roman;serif"/>
                  <w:b w:val="false"/>
                  <w:color w:val="000080"/>
                  <w:sz w:val="20"/>
                  <w:u w:val="single"/>
                </w:rPr>
                <w:t xml:space="preserve"> </w:t>
              </w:r>
            </w:hyperlink>
            <w:hyperlink r:id="rId78">
              <w:r>
                <w:rPr>
                  <w:rStyle w:val="InternetLink"/>
                  <w:rFonts w:ascii="Times New Roman;serif" w:hAnsi="Times New Roman;serif"/>
                  <w:b w:val="false"/>
                  <w:color w:val="000080"/>
                  <w:sz w:val="20"/>
                  <w:u w:val="single"/>
                </w:rPr>
                <w:t>Services, Inc. 2022 Omnibus Incentive</w:t>
              </w:r>
            </w:hyperlink>
            <w:hyperlink r:id="rId79">
              <w:r>
                <w:rPr>
                  <w:rStyle w:val="InternetLink"/>
                  <w:rFonts w:ascii="Times New Roman;serif" w:hAnsi="Times New Roman;serif"/>
                  <w:b w:val="false"/>
                  <w:color w:val="000080"/>
                  <w:sz w:val="20"/>
                  <w:u w:val="single"/>
                </w:rPr>
                <w:t xml:space="preserve"> </w:t>
              </w:r>
            </w:hyperlink>
            <w:hyperlink r:id="rId80">
              <w:r>
                <w:rPr>
                  <w:rStyle w:val="InternetLink"/>
                  <w:rFonts w:ascii="Times New Roman;serif" w:hAnsi="Times New Roman;serif"/>
                  <w:b w:val="false"/>
                  <w:color w:val="000080"/>
                  <w:sz w:val="20"/>
                  <w:u w:val="single"/>
                </w:rPr>
                <w:t>Plan for grants made beginning in March 2025, (1)</w:t>
              </w:r>
            </w:hyperlink>
          </w:p>
        </w:tc>
        <w:tc>
          <w:tcPr>
            <w:tcW w:w="53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5/6/2025</w:t>
            </w:r>
          </w:p>
        </w:tc>
        <w:tc>
          <w:tcPr>
            <w:tcW w:w="101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57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80"/>
                  <w:sz w:val="20"/>
                  <w:u w:val="single"/>
                </w:rPr>
                <w:t>Form of Performance Stock Unit Grant</w:t>
              </w:r>
            </w:hyperlink>
            <w:hyperlink r:id="rId82">
              <w:r>
                <w:rPr>
                  <w:rStyle w:val="InternetLink"/>
                  <w:rFonts w:ascii="Times New Roman;serif" w:hAnsi="Times New Roman;serif"/>
                  <w:b w:val="false"/>
                  <w:color w:val="000080"/>
                  <w:sz w:val="20"/>
                  <w:u w:val="single"/>
                </w:rPr>
                <w:t xml:space="preserve"> </w:t>
              </w:r>
            </w:hyperlink>
            <w:hyperlink r:id="rId83">
              <w:r>
                <w:rPr>
                  <w:rStyle w:val="InternetLink"/>
                  <w:rFonts w:ascii="Times New Roman;serif" w:hAnsi="Times New Roman;serif"/>
                  <w:b w:val="false"/>
                  <w:color w:val="000080"/>
                  <w:sz w:val="20"/>
                  <w:u w:val="single"/>
                </w:rPr>
                <w:t>under Fidelity National Information</w:t>
              </w:r>
            </w:hyperlink>
            <w:hyperlink r:id="rId84">
              <w:r>
                <w:rPr>
                  <w:rStyle w:val="InternetLink"/>
                  <w:rFonts w:ascii="Times New Roman;serif" w:hAnsi="Times New Roman;serif"/>
                  <w:b w:val="false"/>
                  <w:color w:val="000080"/>
                  <w:sz w:val="20"/>
                  <w:u w:val="single"/>
                </w:rPr>
                <w:t xml:space="preserve"> </w:t>
              </w:r>
            </w:hyperlink>
            <w:hyperlink r:id="rId85">
              <w:r>
                <w:rPr>
                  <w:rStyle w:val="InternetLink"/>
                  <w:rFonts w:ascii="Times New Roman;serif" w:hAnsi="Times New Roman;serif"/>
                  <w:b w:val="false"/>
                  <w:color w:val="000080"/>
                  <w:sz w:val="20"/>
                  <w:u w:val="single"/>
                </w:rPr>
                <w:t>Services, Inc. 2022 Omnibus Incentive</w:t>
              </w:r>
            </w:hyperlink>
            <w:hyperlink r:id="rId86">
              <w:r>
                <w:rPr>
                  <w:rStyle w:val="InternetLink"/>
                  <w:rFonts w:ascii="Times New Roman;serif" w:hAnsi="Times New Roman;serif"/>
                  <w:b w:val="false"/>
                  <w:color w:val="000080"/>
                  <w:sz w:val="20"/>
                  <w:u w:val="single"/>
                </w:rPr>
                <w:t xml:space="preserve"> </w:t>
              </w:r>
            </w:hyperlink>
            <w:hyperlink r:id="rId87">
              <w:r>
                <w:rPr>
                  <w:rStyle w:val="InternetLink"/>
                  <w:rFonts w:ascii="Times New Roman;serif" w:hAnsi="Times New Roman;serif"/>
                  <w:b w:val="false"/>
                  <w:color w:val="000080"/>
                  <w:sz w:val="20"/>
                  <w:u w:val="single"/>
                </w:rPr>
                <w:t>Plan for grants made beginning in March 2025, (1)</w:t>
              </w:r>
            </w:hyperlink>
          </w:p>
        </w:tc>
        <w:tc>
          <w:tcPr>
            <w:tcW w:w="53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5/6/2025</w:t>
            </w:r>
          </w:p>
        </w:tc>
        <w:tc>
          <w:tcPr>
            <w:tcW w:w="101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57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80"/>
                  <w:sz w:val="20"/>
                  <w:u w:val="single"/>
                </w:rPr>
                <w:t>Term Loan Credit Agreement, dated</w:t>
              </w:r>
            </w:hyperlink>
            <w:hyperlink r:id="rId89">
              <w:r>
                <w:rPr>
                  <w:rStyle w:val="InternetLink"/>
                  <w:rFonts w:ascii="Times New Roman;serif" w:hAnsi="Times New Roman;serif"/>
                  <w:b w:val="false"/>
                  <w:color w:val="000080"/>
                  <w:sz w:val="20"/>
                  <w:u w:val="single"/>
                </w:rPr>
                <w:t xml:space="preserve"> </w:t>
              </w:r>
            </w:hyperlink>
            <w:hyperlink r:id="rId90">
              <w:r>
                <w:rPr>
                  <w:rStyle w:val="InternetLink"/>
                  <w:rFonts w:ascii="Times New Roman;serif" w:hAnsi="Times New Roman;serif"/>
                  <w:b w:val="false"/>
                  <w:color w:val="000080"/>
                  <w:sz w:val="20"/>
                  <w:u w:val="single"/>
                </w:rPr>
                <w:t>May 1, 2025, by and among Fidelity</w:t>
              </w:r>
            </w:hyperlink>
            <w:hyperlink r:id="rId91">
              <w:r>
                <w:rPr>
                  <w:rStyle w:val="InternetLink"/>
                  <w:rFonts w:ascii="Times New Roman;serif" w:hAnsi="Times New Roman;serif"/>
                  <w:b w:val="false"/>
                  <w:color w:val="000080"/>
                  <w:sz w:val="20"/>
                  <w:u w:val="single"/>
                </w:rPr>
                <w:t xml:space="preserve"> </w:t>
              </w:r>
            </w:hyperlink>
            <w:hyperlink r:id="rId92">
              <w:r>
                <w:rPr>
                  <w:rStyle w:val="InternetLink"/>
                  <w:rFonts w:ascii="Times New Roman;serif" w:hAnsi="Times New Roman;serif"/>
                  <w:b w:val="false"/>
                  <w:color w:val="000080"/>
                  <w:sz w:val="20"/>
                  <w:u w:val="single"/>
                </w:rPr>
                <w:t>National Information Services, Inc.,</w:t>
              </w:r>
            </w:hyperlink>
            <w:hyperlink r:id="rId93">
              <w:r>
                <w:rPr>
                  <w:rStyle w:val="InternetLink"/>
                  <w:rFonts w:ascii="Times New Roman;serif" w:hAnsi="Times New Roman;serif"/>
                  <w:b w:val="false"/>
                  <w:color w:val="000080"/>
                  <w:sz w:val="20"/>
                  <w:u w:val="single"/>
                </w:rPr>
                <w:t>each lender from time to time party</w:t>
              </w:r>
            </w:hyperlink>
            <w:hyperlink r:id="rId94">
              <w:r>
                <w:rPr>
                  <w:rStyle w:val="InternetLink"/>
                  <w:rFonts w:ascii="Times New Roman;serif" w:hAnsi="Times New Roman;serif"/>
                  <w:b w:val="false"/>
                  <w:color w:val="000080"/>
                  <w:sz w:val="20"/>
                  <w:u w:val="single"/>
                </w:rPr>
                <w:t xml:space="preserve"> </w:t>
              </w:r>
            </w:hyperlink>
            <w:hyperlink r:id="rId95">
              <w:r>
                <w:rPr>
                  <w:rStyle w:val="InternetLink"/>
                  <w:rFonts w:ascii="Times New Roman;serif" w:hAnsi="Times New Roman;serif"/>
                  <w:b w:val="false"/>
                  <w:color w:val="000080"/>
                  <w:sz w:val="20"/>
                  <w:u w:val="single"/>
                </w:rPr>
                <w:t>thereto and Goldman Sachs Bank USA,</w:t>
              </w:r>
            </w:hyperlink>
            <w:hyperlink r:id="rId96">
              <w:r>
                <w:rPr>
                  <w:rStyle w:val="InternetLink"/>
                  <w:rFonts w:ascii="Times New Roman;serif" w:hAnsi="Times New Roman;serif"/>
                  <w:b w:val="false"/>
                  <w:color w:val="000080"/>
                  <w:sz w:val="20"/>
                  <w:u w:val="single"/>
                </w:rPr>
                <w:t>as Administrative Agent</w:t>
              </w:r>
            </w:hyperlink>
            <w:hyperlink r:id="rId97">
              <w:r>
                <w:rPr>
                  <w:rStyle w:val="InternetLink"/>
                  <w:rFonts w:ascii="Times New Roman;serif" w:hAnsi="Times New Roman;serif"/>
                  <w:b w:val="false"/>
                  <w:color w:val="000080"/>
                  <w:sz w:val="20"/>
                  <w:u w:val="single"/>
                </w:rPr>
                <w:t>.</w:t>
              </w:r>
            </w:hyperlink>
          </w:p>
        </w:tc>
        <w:tc>
          <w:tcPr>
            <w:tcW w:w="53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5/6/2025</w:t>
            </w:r>
          </w:p>
        </w:tc>
        <w:tc>
          <w:tcPr>
            <w:tcW w:w="101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57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00"/>
                  <w:sz w:val="20"/>
                  <w:u w:val="single"/>
                </w:rPr>
                <w:t>Amendment No. 1, dated August 1, 2024,to Fidelity National Information Services, Inc. 2022 Omnibus Incentive Plan. (1)</w:t>
              </w:r>
            </w:hyperlink>
          </w:p>
        </w:tc>
        <w:tc>
          <w:tcPr>
            <w:tcW w:w="53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11/4/2024</w:t>
            </w:r>
          </w:p>
        </w:tc>
        <w:tc>
          <w:tcPr>
            <w:tcW w:w="101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572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80"/>
                  <w:sz w:val="20"/>
                  <w:u w:val="single"/>
                </w:rPr>
                <w:t>Amendment No. 1, dated July 31, 2024,</w:t>
              </w:r>
            </w:hyperlink>
            <w:hyperlink r:id="rId100">
              <w:r>
                <w:rPr>
                  <w:rStyle w:val="InternetLink"/>
                  <w:rFonts w:ascii="Times New Roman;serif" w:hAnsi="Times New Roman;serif"/>
                  <w:b w:val="false"/>
                  <w:color w:val="000080"/>
                  <w:sz w:val="20"/>
                  <w:u w:val="single"/>
                </w:rPr>
                <w:t>to the Fidelity National Information</w:t>
              </w:r>
            </w:hyperlink>
            <w:hyperlink r:id="rId101">
              <w:r>
                <w:rPr>
                  <w:rStyle w:val="InternetLink"/>
                  <w:rFonts w:ascii="Times New Roman;serif" w:hAnsi="Times New Roman;serif"/>
                  <w:b w:val="false"/>
                  <w:color w:val="000080"/>
                  <w:sz w:val="20"/>
                  <w:u w:val="single"/>
                </w:rPr>
                <w:t xml:space="preserve"> </w:t>
              </w:r>
            </w:hyperlink>
            <w:hyperlink r:id="rId102">
              <w:r>
                <w:rPr>
                  <w:rStyle w:val="InternetLink"/>
                  <w:rFonts w:ascii="Times New Roman;serif" w:hAnsi="Times New Roman;serif"/>
                  <w:b w:val="false"/>
                  <w:color w:val="000080"/>
                  <w:sz w:val="20"/>
                  <w:u w:val="single"/>
                </w:rPr>
                <w:t>Services, Inc. Employee Stock Purchase</w:t>
              </w:r>
            </w:hyperlink>
            <w:hyperlink r:id="rId103">
              <w:r>
                <w:rPr>
                  <w:rStyle w:val="InternetLink"/>
                  <w:rFonts w:ascii="Times New Roman;serif" w:hAnsi="Times New Roman;serif"/>
                  <w:b w:val="false"/>
                  <w:color w:val="000080"/>
                  <w:sz w:val="20"/>
                  <w:u w:val="single"/>
                </w:rPr>
                <w:t xml:space="preserve"> </w:t>
              </w:r>
            </w:hyperlink>
            <w:hyperlink r:id="rId104">
              <w:r>
                <w:rPr>
                  <w:rStyle w:val="InternetLink"/>
                  <w:rFonts w:ascii="Times New Roman;serif" w:hAnsi="Times New Roman;serif"/>
                  <w:b w:val="false"/>
                  <w:color w:val="000080"/>
                  <w:sz w:val="20"/>
                  <w:u w:val="single"/>
                </w:rPr>
                <w:t>Plan effective July 2024. (1)</w:t>
              </w:r>
            </w:hyperlink>
          </w:p>
        </w:tc>
        <w:tc>
          <w:tcPr>
            <w:tcW w:w="53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8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11/4/2024</w:t>
            </w:r>
          </w:p>
        </w:tc>
        <w:tc>
          <w:tcPr>
            <w:tcW w:w="1011"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6"/>
        <w:gridCol w:w="2045"/>
        <w:gridCol w:w="1794"/>
        <w:gridCol w:w="1800"/>
        <w:gridCol w:w="187"/>
        <w:gridCol w:w="187"/>
        <w:gridCol w:w="160"/>
        <w:gridCol w:w="289"/>
        <w:gridCol w:w="289"/>
        <w:gridCol w:w="232"/>
        <w:gridCol w:w="240"/>
        <w:gridCol w:w="240"/>
        <w:gridCol w:w="241"/>
        <w:gridCol w:w="233"/>
        <w:gridCol w:w="233"/>
        <w:gridCol w:w="234"/>
        <w:gridCol w:w="433"/>
        <w:gridCol w:w="247"/>
        <w:gridCol w:w="3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03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6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7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6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3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1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70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erif" w:hAnsi="Times New Roman;serif"/>
                  <w:b w:val="false"/>
                  <w:color w:val="000080"/>
                  <w:sz w:val="20"/>
                  <w:u w:val="single"/>
                </w:rPr>
                <w:t>Fidelity National Information Services,</w:t>
              </w:r>
            </w:hyperlink>
            <w:hyperlink r:id="rId106">
              <w:r>
                <w:rPr>
                  <w:rStyle w:val="InternetLink"/>
                  <w:rFonts w:ascii="Times New Roman;serif" w:hAnsi="Times New Roman;serif"/>
                  <w:b w:val="false"/>
                  <w:color w:val="000080"/>
                  <w:sz w:val="20"/>
                  <w:u w:val="single"/>
                </w:rPr>
                <w:t>Inc. U.S. Executive Severance Plan, as</w:t>
              </w:r>
            </w:hyperlink>
            <w:hyperlink r:id="rId107">
              <w:r>
                <w:rPr>
                  <w:rStyle w:val="InternetLink"/>
                  <w:rFonts w:ascii="Times New Roman;serif" w:hAnsi="Times New Roman;serif"/>
                  <w:b w:val="false"/>
                  <w:color w:val="000080"/>
                  <w:sz w:val="20"/>
                  <w:u w:val="single"/>
                </w:rPr>
                <w:t xml:space="preserve"> </w:t>
              </w:r>
            </w:hyperlink>
            <w:hyperlink r:id="rId108">
              <w:r>
                <w:rPr>
                  <w:rStyle w:val="InternetLink"/>
                  <w:rFonts w:ascii="Times New Roman;serif" w:hAnsi="Times New Roman;serif"/>
                  <w:b w:val="false"/>
                  <w:color w:val="000080"/>
                  <w:sz w:val="20"/>
                  <w:u w:val="single"/>
                </w:rPr>
                <w:t>adopted September 1, 2024.</w:t>
              </w:r>
            </w:hyperlink>
            <w:hyperlink r:id="rId109">
              <w:r>
                <w:rPr>
                  <w:rStyle w:val="InternetLink"/>
                  <w:rFonts w:ascii="Times New Roman;serif" w:hAnsi="Times New Roman;serif"/>
                  <w:b w:val="false"/>
                  <w:color w:val="000080"/>
                  <w:sz w:val="20"/>
                  <w:u w:val="single"/>
                </w:rPr>
                <w:t xml:space="preserve"> (1)</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11/4/2024</w:t>
            </w:r>
          </w:p>
        </w:tc>
        <w:tc>
          <w:tcPr>
            <w:tcW w:w="103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00"/>
                  <w:sz w:val="20"/>
                  <w:u w:val="single"/>
                </w:rPr>
                <w:t>Securities Trading Policy</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2/13/2025</w:t>
            </w:r>
          </w:p>
        </w:tc>
        <w:tc>
          <w:tcPr>
            <w:tcW w:w="103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listofsubsfinalcompanies.htm">
              <w:r>
                <w:rPr>
                  <w:rStyle w:val="InternetLink"/>
                  <w:rFonts w:ascii="Times New Roman;serif" w:hAnsi="Times New Roman;serif"/>
                  <w:b w:val="false"/>
                  <w:color w:val="000000"/>
                  <w:sz w:val="20"/>
                  <w:u w:val="single"/>
                </w:rPr>
                <w:t>Subsidiaries of the Registrant.</w:t>
              </w:r>
            </w:hyperlink>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31kpmgconsent-2025.htm">
              <w:r>
                <w:rPr>
                  <w:rStyle w:val="InternetLink"/>
                  <w:rFonts w:ascii="Times New Roman;serif" w:hAnsi="Times New Roman;serif"/>
                  <w:b w:val="false"/>
                  <w:color w:val="000000"/>
                  <w:sz w:val="20"/>
                  <w:u w:val="single"/>
                </w:rPr>
                <w:t>Consent of Independent Registered Public Accounting Firm (KPMG LLP).</w:t>
              </w:r>
            </w:hyperlink>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10k2025.htm">
              <w:r>
                <w:rPr>
                  <w:rStyle w:val="InternetLink"/>
                  <w:rFonts w:ascii="Times New Roman;serif" w:hAnsi="Times New Roman;serif"/>
                  <w:b w:val="false"/>
                  <w:color w:val="000000"/>
                  <w:sz w:val="20"/>
                  <w:u w:val="single"/>
                </w:rPr>
                <w:t>Certification of Stephanie Ferris, Chief Executive Officer of Fidelity National Information Services, Inc., pursuant to rule 13a-14(a) or 15d-14(a) of the Exchange Act, as adopted pursuant to Section 302 of the Sarbanes-Oxley Act of 2002.</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10k2025.htm">
              <w:r>
                <w:rPr>
                  <w:rStyle w:val="InternetLink"/>
                  <w:rFonts w:ascii="Times New Roman;serif" w:hAnsi="Times New Roman;serif"/>
                  <w:b w:val="false"/>
                  <w:color w:val="000000"/>
                  <w:sz w:val="20"/>
                  <w:u w:val="single"/>
                </w:rPr>
                <w:t>Certification of James Kehoe, Chief Financial Officer of Fidelity National Information Services, Inc., pursuant to rule 13a-14(a) or 15d-14(a) of the Exchange Act, as adopted pursuant to Section 302 of the Sarbanes-Oxley Act of 2002.</w:t>
              </w:r>
            </w:hyperlink>
          </w:p>
        </w:tc>
        <w:tc>
          <w:tcPr>
            <w:tcW w:w="5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2110k2025.htm">
              <w:r>
                <w:rPr>
                  <w:rStyle w:val="InternetLink"/>
                  <w:rFonts w:ascii="Times New Roman;serif" w:hAnsi="Times New Roman;serif"/>
                  <w:b w:val="false"/>
                  <w:color w:val="000000"/>
                  <w:sz w:val="20"/>
                  <w:u w:val="single"/>
                </w:rPr>
                <w:t>Certification of Stephanie Ferris, Chief Executive Officer of Fidelity National Information Services, Inc., pursuant to 18 U.S.C. Section 1350, as adopted pursuant to Section 906 of the Sarbanes-Oxley Act of 2002.</w:t>
              </w:r>
            </w:hyperlink>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2210k2025.htm">
              <w:r>
                <w:rPr>
                  <w:rStyle w:val="InternetLink"/>
                  <w:rFonts w:ascii="Times New Roman;serif" w:hAnsi="Times New Roman;serif"/>
                  <w:b w:val="false"/>
                  <w:color w:val="000000"/>
                  <w:sz w:val="20"/>
                  <w:u w:val="single"/>
                </w:rPr>
                <w:t>Certification of James Kehoe, Chief Financial Officer of Fidelity National Information Services, Inc., pursuant to 18 U.S.C. Section 1350, as adopted pursuant to Section 906 of the Sarbanes-Oxley Act of 2002.</w:t>
              </w:r>
            </w:hyperlink>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0000"/>
                  <w:sz w:val="20"/>
                  <w:u w:val="single"/>
                </w:rPr>
                <w:t>Excess Incentive Compensation Clawback Policy.</w:t>
              </w:r>
            </w:hyperlink>
          </w:p>
        </w:tc>
        <w:tc>
          <w:tcPr>
            <w:tcW w:w="5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001-16427</w:t>
            </w:r>
          </w:p>
        </w:tc>
        <w:tc>
          <w:tcPr>
            <w:tcW w:w="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7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2/26/2024</w:t>
            </w:r>
          </w:p>
        </w:tc>
        <w:tc>
          <w:tcPr>
            <w:tcW w:w="103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56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3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56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563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34"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3"/>
        <w:gridCol w:w="1740"/>
        <w:gridCol w:w="1718"/>
        <w:gridCol w:w="1724"/>
        <w:gridCol w:w="187"/>
        <w:gridCol w:w="187"/>
        <w:gridCol w:w="174"/>
        <w:gridCol w:w="275"/>
        <w:gridCol w:w="275"/>
        <w:gridCol w:w="248"/>
        <w:gridCol w:w="240"/>
        <w:gridCol w:w="240"/>
        <w:gridCol w:w="241"/>
        <w:gridCol w:w="288"/>
        <w:gridCol w:w="288"/>
        <w:gridCol w:w="290"/>
        <w:gridCol w:w="433"/>
        <w:gridCol w:w="344"/>
        <w:gridCol w:w="494"/>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27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518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Furnished</w:t>
            </w:r>
          </w:p>
        </w:tc>
      </w:tr>
      <w:tr>
        <w:trPr/>
        <w:tc>
          <w:tcPr>
            <w:tcW w:w="81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518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54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7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7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8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27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Herewith</w:t>
            </w:r>
          </w:p>
        </w:tc>
      </w:tr>
      <w:tr>
        <w:trPr/>
        <w:tc>
          <w:tcPr>
            <w:tcW w:w="8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518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4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518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4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48"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(1) Management contract or compensatory plan or arrangement.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*Filed or furnished herewith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TextBody"/>
        <w:bidi w:val="0"/>
        <w:spacing w:lineRule="auto" w:line="288" w:before="0" w:after="0"/>
        <w:jc w:val="left"/>
        <w:rPr/>
      </w:pPr>
      <w:r>
        <w:rPr>
          <w:rFonts w:ascii="Times New Roman;serif" w:hAnsi="Times New Roman;serif"/>
          <w:b/>
          <w:color w:val="000000"/>
          <w:sz w:val="20"/>
        </w:rPr>
        <w:t>Item 16.     </w:t>
      </w:r>
      <w:r>
        <w:rPr>
          <w:rFonts w:ascii="Times New Roman;serif" w:hAnsi="Times New Roman;serif"/>
          <w:b/>
          <w:i/>
          <w:color w:val="000000"/>
          <w:sz w:val="20"/>
        </w:rPr>
        <w:t>Form 10-K Summary</w:t>
      </w:r>
    </w:p>
    <w:p>
      <w:pPr>
        <w:pStyle w:val="TextBody"/>
        <w:bidi w:val="0"/>
        <w:spacing w:before="0" w:after="0"/>
        <w:ind w:left="0" w:right="0" w:hanging="108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60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50"/>
        <w:gridCol w:w="750"/>
        <w:gridCol w:w="750"/>
        <w:gridCol w:w="934"/>
        <w:gridCol w:w="934"/>
        <w:gridCol w:w="13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FIDELITY NATIONAL INFORMATION SERVICES, INC.</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659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1159"/>
        <w:gridCol w:w="1159"/>
        <w:gridCol w:w="16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Brooks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Alexandra Brooks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Jeffrey A. Goldstein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Goldstein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Nicole Anasenes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Nicole Anasenes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D. Benjamin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D. Benjamin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Anil S.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Anil S.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Kourtney Gibson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Kourtney Gibson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Lisa A. Hook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A. Hook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Kenneth T. Lamneck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T. Lamneck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ce25c693ee546779f285b77bacb5ccf_7">
        <w:r>
          <w:rPr>
            <w:rStyle w:val="InternetLink"/>
            <w:rFonts w:ascii="Times New Roman;serif" w:hAnsi="Times New Roman;serif"/>
            <w:b w:val="false"/>
            <w:color w:val="000000"/>
            <w:sz w:val="16"/>
            <w:u w:val="single"/>
          </w:rPr>
          <w:t>Table of Contents</w:t>
        </w:r>
      </w:hyperlink>
    </w:p>
    <w:tbl>
      <w:tblPr>
        <w:tblW w:w="467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22"/>
        <w:gridCol w:w="622"/>
        <w:gridCol w:w="8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Gary L. Lauer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L. Lauer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B. Stallings,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B. Stallings,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Exhibit 4.24</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DESCRIPTION OF THE COMPANY’S 1.000% SENIOR NOTES DUE 2028 AND 2.250% SENIOR NOTES DUE 2029 REGISTERED PURSUANT TO SECTION 12 OF THE SECURITIES EXCHANGE ACT OF 1934</w:t>
      </w:r>
    </w:p>
    <w:p>
      <w:pPr>
        <w:pStyle w:val="TextBody"/>
        <w:bidi w:val="0"/>
        <w:spacing w:lineRule="auto" w:line="240" w:before="0" w:after="24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As used in the following description of the above-referenced securities, the terms “FIS,” “we,” “us” and “our” refer to Fidelity National Information Services, Inc. and not to any of its subsidiaries, unless the context requires otherwise. The following description is subject to, and qualified in its entirety by reference to, the Indenture (as defined below), which is also filed as an exhibit to our Annual Report on Form 10-K. We encourage you to read the Indenture for additional information.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1.000% Senior Notes due 2028 (the “Euro Notes”) and the 2.250% Senior Notes due 2029 (the “Sterling Notes” and, together with the Euro Notes, the “Senior Notes”) were issued as separate series of debt securities under an indenture dated as of April 15, 2013 (the “Base Indenture”), between us, certain other parties thereto and The Bank of New York Mellon Trust Company, N.A., as trustee (the “Trustee”). The Base Indenture was supplemented by a supplemental indenture with respect to each series of Senior Notes, dated as of December 3, 2019, each entered into concurrently with the delivery of the Senior Notes (such supplemental indentures, together with the base indenture, the “Indenture”).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Euro Notes were initially limited to €625,000,000 aggregate principal amount and will mature on December 3, 2028. The Sterling Notes were initially limited to £300,000,000 aggregate principal amount and will mature on December 3, 2029. We may from time to time, without notice to, or the consent of, the holders of the applicable series of Senior Notes, increase the principal amount of the Senior Notes of that series, on the same terms and conditions (except for the issue date, the public offering price and, in some cases, the first interest payment date and the initial interest accrual date) as such series of Senior Notes, provided that if such additional Senior Notes will not be fungible with the previously issued Senior Notes of the applicable series for U.S. federal income tax purposes, such additional Senior Notes will have a separate CUSIP number. The Euro Notes are issuable only in fully registered form without coupons in minimum denominations of €100,000 and any integral multiple of €1,000 in excess thereof. The Sterling Notes are issuable only in fully registered form without coupons in minimum denominations of £100,000 and any integral multiple of £1,000 in excess thereof.</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security registrar and transfer agent for the Senior Notes is The Bank of New York Mellon Trust Company, N.A. until such time as a successor security registrar or transfer agent is appointed.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Senior Notes are our senior unsecured obligations and rank equally with all of our existing and future other senior unsecured indebtedness. The Senior Notes initially are not guaranteed by any of our subsidiaries, provided that if any of our domestic wholly-owned subsidiaries guarantees or becomes a co-obligor in respect of any Debt of FIS under our Credit Facilities in the future, any such subsidiary also will be required to guarantee the Senior Notes (such subsidiary, if and so long as such subsidiary provides a guarantee of the Senior Notes, a “Subsidiary Guarantor”). Any such guarantee would be a senior unsecured obligation of any such Subsidiary Guarantor and would rank equal with all existing and future senior unsecured indebtedness of such Subsidiary Guarantor and senior to all subordinated indebtedness of such Subsidiary Guarantor. Any such guarantee would be effectively subordinated to any secured indebtedness of such Subsidiary Guarantor to the extent of the assets securing such indebtedness. Any such guarantee would be full and unconditional, provided that the obligations of a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Subsidiary Guarantor under its applicable guarantee would be limited as necessary to prevent the guarantees from constituting a fraudulent conveyance or fraudulent transfer under federal or state law. By virtue of this limitation, a Subsidiary Guarantor’s obligations under its guarantee, if any, could be significantly less than amounts payable with respect to the Senior Notes, or a Subsidiary Guarantor may have effectively no obligation under its guarantee.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such guarantee of a Subsidiary Guarantor with respect to the Senior Notes would terminate and be discharged and of no further force and effect and the applicable Subsidiary Guarantor would be automatically and unconditionally released from all of its obligations thereunder: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concurrently with any direct or indirect sale or other disposition (including by way of consolidation, merger or otherwise) of the Subsidiary Guarantor or the sale or disposition (including by way of consolidation, merger or otherwise) of all or substantially all the assets of the Subsidiary Guarantor (other than to FIS or any of its subsidiaries);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at any time that such Subsidiary Guarantor is released from all of its obligations (other than contingent indemnification obligations that may survive such release) as a guarantor or co-obligor of all Debt of FIS under the Credit Facilities except a discharge by or as a result of payment under such guarantee;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upon the merger or consolidation of any Subsidiary Guarantor with and into FIS or any Subsidiary Guarantor that is the surviving person in such merger or consolidation, or upon the liquidation of such Subsidiary Guarantor following or contemporaneously with the transfer of all of its assets to FIS or any Subsidiary Guarantor;</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for the applicable series of Senior Notes, upon the defeasance or discharge of such series of Senior Notes, as provided in the Indenture, or upon satisfaction and discharge of the Indenture; or</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for the applicable series of Senior Notes, upon the prior consent of the holders of such series of Senior Notes then outstanding as provided for under “—Modification of the 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Senior Notes are effectively subordinated to any secured indebtedness of FIS to the extent of the assets securing such indebtedness and are structurally subordinated to the obligations (including trade accounts payable) and preferred equity of our subsidiaries that are not Subsidiary Guarantors.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Indenture does not contain any covenants or provisions that would afford the holders of the Senior Notes protection in the event of a highly leveraged or other transaction that is not in the best interests of the holders of the Senior Notes, except to the limited extent described below under “—Purchase of Senior Notes upon a Change of Control Triggering Event” and “—Restrictive Covenants.”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Principal and Interest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Euro Notes will mature on December 3, 2028 unless we redeem or purchase the Euro Notes prior to that date, as described below under “—Optional Redemption” and “—Purchase of Senior Notes upon a Change of Control Triggering Event.” Interest on the Euro Notes accrues at the rate of 1.000% per year and is paid on the basis of the actual number of days in the period for which interest is being calculated and the actual number of days from and including the last date on which interest was paid on such series of Senior Notes (or from December 3, 2019, if no interest has been paid on such Senior Notes) to, but excluding, the next scheduled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payment date. This payment convention is referred to as the ACTUAL/</w:t>
        <w:br/>
        <w:t>ACTUAL (ICMA) (as defined in the rulebook of the International Capital Markets Association) day count convention.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Sterling Notes will mature on December 3, 2029, unless we redeem or purchase the Sterling Notes prior to that date, as described below under “—Optional Redemption” and “—Purchase of Senior Notes upon a Change of Control Triggering Event.” Interest on the Sterling Notes accrues at the rate of 2.250% per year and is paid on the basis of an ACTUAL/ACTUAL (ICMA) day count convention.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pay interest on each series of Senior Notes annually in arrears on December 3 of each year, beginning on December 3, 2020, to the holder in whose name each such Senior Note is registered on the fifteenth calendar day (whether or not a business day) preceding the applicable interest payment date, whether or not such day is a business day.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Amounts due on each such interest payment date, stated maturity date or earlier redemption date of each series of Senior Notes will be payable at the office or agency maintained for such purpose in London, initially the corporate trust office of the paying agent, or by electronic means, in euro in relation to the Euro Notes, and in GBP in relation to the Sterling Notes. The principal and interest payable on the Global Notes (as defined below) registered in the name of a nominee of the common depositary will be paid in immediately available funds to the ICSDs or to the nominee of the common depositary, as the case may be, as the registered holder of such Global Note. If any of the Senior Notes are no longer represented by Global Notes, payment of interest on the Senior Notes in certified form may, at our option, be made by check mailed directly to holders at their registered addresses.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we nor the Trustee will impose any service charge for any transfer or exchange of a Senior Note. However, we may ask you to pay any taxes or other governmental charges in connection with a transfer or exchange of Senior Notes. In addition, the terms of the Senior Notes will provide that we are permitted to withhold from interest payments and payments upon the maturity or earlier redemption of the Senior Notes any amounts we are required to withhold by law. See “—Payment of Additional Amounts.”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any interest payment date, stated maturity date or earlier redemption or purchase date in respect of the Senior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required by law, regulation or executive order to close and (ii) in the case of the Euro Notes, on which the Trans-European Automated Real-Time Gross Settlement Express Transfer system (the TARGET2 system) or any successor thereto, is open.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Payment of Additional Amounts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payments in respect of the Senior Notes will be made by or on behalf of us without withholding or deduction for, or on account of, any present or future taxes, duties, assessments or governmental charges of whatever nature, imposed or levied by the United States or any taxing authority thereof or therein unless such withholding or deduction is required by law. If such withholding or deduction is required by law, we will pay to a holder or a beneficial owner who is not a United States person such additional amounts (“Additional Amounts”) on the Senior Notes as are necessary in order that the net payment by us or a paying or withholding agent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principal of, and premium, if any, and interest on, such Senior Notes, after such withholding or deduction (including any withholding or deduction on such Additional Amounts), will not be less than the amount provided in such Senior Notes to be then due and payable; provided, however, that the foregoing obligation to pay Additional Amounts will not apply:</w:t>
      </w:r>
    </w:p>
    <w:p>
      <w:pPr>
        <w:pStyle w:val="TextBody"/>
        <w:bidi w:val="0"/>
        <w:spacing w:lineRule="auto" w:line="240" w:before="0" w:after="240"/>
        <w:ind w:left="0" w:right="0" w:firstLine="503"/>
        <w:jc w:val="left"/>
        <w:rPr/>
      </w:pPr>
      <w:r>
        <w:rPr>
          <w:rFonts w:ascii="Times New Roman;serif" w:hAnsi="Times New Roman;serif"/>
          <w:b w:val="false"/>
          <w:color w:val="000000"/>
          <w:sz w:val="24"/>
        </w:rPr>
        <w:t>i.</w:t>
      </w:r>
      <w:r>
        <w:rPr>
          <w:rFonts w:ascii="Times New Roman;serif" w:hAnsi="Times New Roman;serif"/>
          <w:b w:val="false"/>
          <w:color w:val="000000"/>
          <w:sz w:val="24"/>
        </w:rPr>
        <w:t>to any tax, assessment or other governmental charge that would not have been imposed but for the holder or the beneficial owner, or a fiduciary, settlor, beneficiary, member or shareholder of the holder or the beneficial owner if the holder or the beneficial owner is an estate, trust, partnership or corporation, or a person holding a power over an estate or trust administered by a fiduciary holder, being considered as: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being or having been engaged in a trade or business in the United States, or having or having had a permanent establishment in the United States;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having a current or former connection with the United States (other than a connection arising solely as a result of the ownership of such Senior Notes, the receipt of any payment or the enforcement of any rights thereunder), including being or having been a citizen or resident of the United States;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being or having been a personal holding company, a passive foreign investment company or a controlled foreign corporation with respect to the United States or a foreign tax exempt organization or a foreign personal holding company that has accumulated earnings to avoid United States federal income tax;</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being or having been a “10-percent shareholder” of us within the meaning of Section 871(h)(3) of the Code or any successor provision; 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being a bank receiving payments on an extension of credit made pursuant to a loan agreement entered into in the ordinary course of its trade or business.</w:t>
      </w:r>
    </w:p>
    <w:p>
      <w:pPr>
        <w:pStyle w:val="TextBody"/>
        <w:bidi w:val="0"/>
        <w:spacing w:lineRule="auto" w:line="240" w:before="0" w:after="240"/>
        <w:ind w:left="0" w:right="0" w:firstLine="503"/>
        <w:jc w:val="left"/>
        <w:rPr/>
      </w:pPr>
      <w:r>
        <w:rPr>
          <w:rFonts w:ascii="Times New Roman;serif" w:hAnsi="Times New Roman;serif"/>
          <w:b w:val="false"/>
          <w:color w:val="000000"/>
          <w:sz w:val="24"/>
        </w:rPr>
        <w:t>i.</w:t>
      </w:r>
      <w:r>
        <w:rPr>
          <w:rFonts w:ascii="Times New Roman;serif" w:hAnsi="Times New Roman;serif"/>
          <w:b w:val="false"/>
          <w:color w:val="000000"/>
          <w:sz w:val="24"/>
        </w:rPr>
        <w:t>to any holder that is not the sole beneficial owner of a Senior Note, or a portion of such Senior Note,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pStyle w:val="TextBody"/>
        <w:bidi w:val="0"/>
        <w:spacing w:lineRule="auto" w:line="240" w:before="0" w:after="240"/>
        <w:ind w:left="0" w:right="0" w:firstLine="437"/>
        <w:jc w:val="left"/>
        <w:rPr/>
      </w:pPr>
      <w:r>
        <w:rPr>
          <w:rFonts w:ascii="Times New Roman;serif" w:hAnsi="Times New Roman;serif"/>
          <w:b w:val="false"/>
          <w:color w:val="000000"/>
          <w:sz w:val="24"/>
        </w:rPr>
        <w:t>ii.</w:t>
      </w:r>
      <w:r>
        <w:rPr>
          <w:rFonts w:ascii="Times New Roman;serif" w:hAnsi="Times New Roman;serif"/>
          <w:b w:val="false"/>
          <w:color w:val="000000"/>
          <w:sz w:val="24"/>
        </w:rPr>
        <w:t>to any tax, assessment or other governmental charge that would not have been imposed but for the failure of the holder or beneficial owner of the Senior Notes to comply with any applicable certification, identification or information reporting requirements concerning the nationality, residence, identity or connection with the United States of the holder or beneficial owner of a Senior Note,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pStyle w:val="TextBody"/>
        <w:bidi w:val="0"/>
        <w:spacing w:lineRule="auto" w:line="240" w:before="0" w:after="240"/>
        <w:ind w:left="0" w:right="0" w:firstLine="370"/>
        <w:jc w:val="left"/>
        <w:rPr/>
      </w:pPr>
      <w:r>
        <w:rPr>
          <w:rFonts w:ascii="Times New Roman;serif" w:hAnsi="Times New Roman;serif"/>
          <w:b w:val="false"/>
          <w:color w:val="000000"/>
          <w:sz w:val="24"/>
        </w:rPr>
        <w:t>iii.</w:t>
      </w:r>
      <w:r>
        <w:rPr>
          <w:rFonts w:ascii="Times New Roman;serif" w:hAnsi="Times New Roman;serif"/>
          <w:b w:val="false"/>
          <w:color w:val="000000"/>
          <w:sz w:val="24"/>
        </w:rPr>
        <w:t>to any tax, assessment or other governmental charge that is imposed otherwise than by withholding by us or a paying or withholding agent from the payment;</w:t>
      </w:r>
    </w:p>
    <w:p>
      <w:pPr>
        <w:pStyle w:val="TextBody"/>
        <w:bidi w:val="0"/>
        <w:spacing w:lineRule="auto" w:line="240" w:before="0" w:after="240"/>
        <w:ind w:left="0" w:right="0" w:firstLine="383"/>
        <w:jc w:val="left"/>
        <w:rPr/>
      </w:pPr>
      <w:r>
        <w:rPr>
          <w:rFonts w:ascii="Times New Roman;serif" w:hAnsi="Times New Roman;serif"/>
          <w:b w:val="false"/>
          <w:color w:val="000000"/>
          <w:sz w:val="24"/>
        </w:rPr>
        <w:t>iv.</w:t>
      </w:r>
      <w:r>
        <w:rPr>
          <w:rFonts w:ascii="Times New Roman;serif" w:hAnsi="Times New Roman;serif"/>
          <w:b w:val="false"/>
          <w:color w:val="000000"/>
          <w:sz w:val="24"/>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450"/>
        <w:jc w:val="left"/>
        <w:rPr/>
      </w:pPr>
      <w:r>
        <w:rPr>
          <w:rFonts w:ascii="Times New Roman;serif" w:hAnsi="Times New Roman;serif"/>
          <w:b w:val="false"/>
          <w:color w:val="000000"/>
          <w:sz w:val="24"/>
        </w:rPr>
        <w:t>v.</w:t>
      </w:r>
      <w:r>
        <w:rPr>
          <w:rFonts w:ascii="Times New Roman;serif" w:hAnsi="Times New Roman;serif"/>
          <w:b w:val="false"/>
          <w:color w:val="000000"/>
          <w:sz w:val="24"/>
        </w:rPr>
        <w:t>to any estate, inheritance, gift, sales, excise, transfer, wealth, capital gains or personal property tax or similar tax, assessment or other governmental charge;</w:t>
      </w:r>
    </w:p>
    <w:p>
      <w:pPr>
        <w:pStyle w:val="TextBody"/>
        <w:bidi w:val="0"/>
        <w:spacing w:lineRule="auto" w:line="240" w:before="0" w:after="240"/>
        <w:ind w:left="0" w:right="0" w:firstLine="383"/>
        <w:jc w:val="left"/>
        <w:rPr/>
      </w:pPr>
      <w:r>
        <w:rPr>
          <w:rFonts w:ascii="Times New Roman;serif" w:hAnsi="Times New Roman;serif"/>
          <w:b w:val="false"/>
          <w:color w:val="000000"/>
          <w:sz w:val="24"/>
        </w:rPr>
        <w:t>vi.</w:t>
      </w:r>
      <w:r>
        <w:rPr>
          <w:rFonts w:ascii="Times New Roman;serif" w:hAnsi="Times New Roman;serif"/>
          <w:b w:val="false"/>
          <w:color w:val="000000"/>
          <w:sz w:val="24"/>
        </w:rPr>
        <w:t xml:space="preserve">to any tax, assessment or other governmental charge that would not have been imposed but for the presentation by the holder or beneficial owner of any Senior Note, where presentation is required, for payment on a date more than 30 days after the date on which payment became due and payable or the date on which payment thereof is duly provided for, whichever occurs later; </w:t>
      </w:r>
    </w:p>
    <w:p>
      <w:pPr>
        <w:pStyle w:val="TextBody"/>
        <w:bidi w:val="0"/>
        <w:spacing w:lineRule="auto" w:line="240" w:before="0" w:after="240"/>
        <w:ind w:left="0" w:right="0" w:firstLine="317"/>
        <w:jc w:val="left"/>
        <w:rPr/>
      </w:pPr>
      <w:r>
        <w:rPr>
          <w:rFonts w:ascii="Times New Roman;serif" w:hAnsi="Times New Roman;serif"/>
          <w:b w:val="false"/>
          <w:color w:val="000000"/>
          <w:sz w:val="24"/>
        </w:rPr>
        <w:t>vii.</w:t>
      </w:r>
      <w:r>
        <w:rPr>
          <w:rFonts w:ascii="Times New Roman;serif" w:hAnsi="Times New Roman;serif"/>
          <w:b w:val="false"/>
          <w:color w:val="000000"/>
          <w:sz w:val="24"/>
        </w:rPr>
        <w:t>to any withholding or deduction that is imposed on a payment pursuant to Sections 1471 through 1474 of the Code and related Treasury regulations and pronouncements or any successor provisions thereto (that are substantively comparable and not materially more onerous to comply with) and any regulations or official law, agreement or interpretations thereof implementing an intergovernmental approach thereto; or</w:t>
      </w:r>
    </w:p>
    <w:p>
      <w:pPr>
        <w:pStyle w:val="TextBody"/>
        <w:bidi w:val="0"/>
        <w:spacing w:lineRule="auto" w:line="240" w:before="0" w:after="240"/>
        <w:ind w:left="0" w:right="0" w:firstLine="250"/>
        <w:jc w:val="left"/>
        <w:rPr/>
      </w:pPr>
      <w:r>
        <w:rPr>
          <w:rFonts w:ascii="Times New Roman;serif" w:hAnsi="Times New Roman;serif"/>
          <w:b w:val="false"/>
          <w:color w:val="000000"/>
          <w:sz w:val="24"/>
        </w:rPr>
        <w:t>viii.</w:t>
      </w:r>
      <w:r>
        <w:rPr>
          <w:rFonts w:ascii="Times New Roman;serif" w:hAnsi="Times New Roman;serif"/>
          <w:b w:val="false"/>
          <w:color w:val="000000"/>
          <w:sz w:val="24"/>
        </w:rPr>
        <w:t>in the case of any combination of the above listed items.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Senior Notes are subject in all cases to any tax, fiscal or other law or regulation or administrative or judicial interpretation applicable to the Senior Notes. Except as specifically provided under this heading “—Payment of Additional Amounts,” we will not be required to make any payment for any tax, duty, assessment or governmental charge of whatever nature imposed by any government or a political subdivision or taxing authority of or in any government or political subdivision.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used under this caption “—Payment of Additional Amounts” and under the caption “—Redemption for Tax Reasons,” the term “United States” means the United States of America (including the states and the District of Columbia and any political subdivision thereof), and the term “United States person” means: (a) any individual who is a citizen or resident of the United States; (b) a corporation (or other entity treated as a corporation for U.S. federal income tax purposes) created or organized in or under the laws of the United States, any state thereof or the District of Columbia; (c) an estate, the income of which is subject to U.S. federal income tax regardless of source; (d) a domestic partnership (or other entity treated as a domestic partnership for U.S. federal income tax purposes); or (e) a trust, if (i) a court within the United States is able to exercise primary supervision over administration of the trust and one or more other United States persons have authority to control all substantial decisions of the trust or (ii) it has a valid election in effect under applicable U.S. Treasury regulations to be treated as a domestic trust. Except as described below under the caption “Euro Notes—Issuance in Euros; Sterling Notes—Issuance in GBP,” any payments of Additional Amounts will be in euro in relation to the Euro Notes and in GBP in relation to the Sterling Notes.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used in this document, references to the principal of, and premium, if any, and interest, if any, on the Senior Notes include Additional Amounts, if any, payable on the Senior Notes of such series in that context.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Euro Notes—Issuance in Euros; Sterling Notes—Issuance in GBP</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Initial holders of the Euro Notes were required to pay for the Euro Notes in euros, and principal, premium, if any, and interest payments in respect of the Euro Notes will be payable in euros. If, on or after November 21, 2019,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Initial holders of the Sterling Notes were required to pay for the Sterling Notes in GBP, and principal, premium, if any, and interest payments in respect of the Sterling Notes will be payable in GBP. If, on or after November 21, 2019,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amount payable on any date in euro or GBP, as applicable,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or U.S. dollar/GBP exchange rate, as applicable, available on or prior to the second business day prior to the relevant payment date as determined by us in our sole discretion.</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Market Exchange Rate” means the noon buying rate in The City of New York for cable transfers of euro or GBP, as applicable, as certified for customs purposes (or, if not so certified, as otherwise determined) by the Federal Reserve Bank of New York.</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payment in respect of the Senior Notes so made in U.S. dollars will not constitute an event of default under the Indenture or the Senior Notes. Neither the Trustee nor the paying agent will be responsible for obtaining exchange rates, effecting currency conversions or otherwise handling redenominations. Holders of the Senior Notes will be subject to foreign exchange risks as to payments of principal and interest that may have important economic and tax consequences to them.</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Listing</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Senior Notes are currently listed on the NYSE. We have no obligation to maintain such listings for any series of the Senior Notes, and we may delist any series of the Senior Notes at any time.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Redemption</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Optional Redemption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at our option, redeem any series of Senior Notes, in whole or in part, at any time prior to (i) September 3, 2028 (three months prior to the maturity date of the Euro Notes) in the case of the Euro Notes and (ii) September 3, 2029 (three months prior to the maturity date of the Sterling Notes) in the case of the Sterling Notes (the foregoing dates in respect of each series of Senior Notes, the “Par Call Date”), at a redemption price calculated by us equal to the greater of:</w:t>
      </w:r>
    </w:p>
    <w:p>
      <w:pPr>
        <w:pStyle w:val="TextBody"/>
        <w:bidi w:val="0"/>
        <w:spacing w:lineRule="auto" w:line="240" w:before="0" w:after="240"/>
        <w:ind w:left="0" w:right="0" w:hanging="540"/>
        <w:jc w:val="left"/>
        <w:rPr/>
      </w:pPr>
      <w:r>
        <w:rPr>
          <w:color w:val="000000"/>
        </w:rPr>
        <w:t xml:space="preserve">• </w:t>
      </w:r>
      <w:r>
        <w:rPr>
          <w:rFonts w:ascii="Times New Roman;serif" w:hAnsi="Times New Roman;serif"/>
          <w:b w:val="false"/>
          <w:color w:val="000000"/>
          <w:sz w:val="24"/>
        </w:rPr>
        <w:t>100% of the aggregate principal amount of any Senior Notes being redeemed; and</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 xml:space="preserve">the sum of the present values of the remaining scheduled payments of principal (or the portion of the principal) and interest thereon that would have been due if such series of Senior Notes matured on the related Par Call Date, not including accrued and unpaid interest, if any, to but excluding the redemption date, discounted to the redemption date on an annual basis (ACTUAL/ACTUAL (ICMA)) at a rate equal to the sum of the Comparable Government Bond Rate plus 25 basis points with respect to the Euro Notes and 25 basis points with respect to the Sterling Notes, plus, in each case, accrued and unpaid interest, if any, on the Senior Notes being redeemed to but excluding the redemption date (subject to the right of holders of record on the relevant record date to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receive interest due on any interest payment date that is on or prior to the redemption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or after the related Par Call Date, we may, at our option, redeem the Euro Notes or the Sterling Notes, in whole or in part, at a redemption price equal to 100% of the principal amount of the Euro Notes being redeemed or the Sterling Notes being redeemed, plus accrued and unpaid interest, if any, on the Euro Notes or the Sterling Notes being redeemed to but excluding the redemption date (subject to the right of holders of record on the relevant record date to receive interest due on any interest payment date that is on or prior to the redemption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Senior Notes are also subject to redemption prior to maturity if certain events occur involving United States taxation. If any of these special tax events do occur, the Senior Notes may be redeemed at a redemption price of 100% of their principal amount plus accrued and unpaid interest, if any, to but excluding the date fixed for redemption. See “—Redemption for Tax Reasons.”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Comparable Government Bond” means (i) with respect to the Euro Notes, in relation to any Comparable Government Bond Rate calculation, at the discretion of an Independent Investment Banker,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Comparable Government Bond Rate” means the price, expressed as a percentage (rounded to three decimal places, with 0.0005 being rounded upwards), at which the gross redemption yield on the applicable series of Senior Notes to be redeemed,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Independent Investment Banker” means each of J.P. Morgan Securities plc, Merrill Lynch International, MUFG Securities EMEA plc and Wells Fargo Securities International Limited (or their respective successors), or if each such firm is unwilling or unable to select the Comparable Government Bond, an independent investment banking institution of international standing appointed by us.</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Redemption for Tax Reasons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as a result of any change in, or amendment to, the laws (or any regulations or rulings promulgated under the laws) of the United States or any taxing authority thereof or therein or any change in, or amendments to, an official position regarding the application or interpretation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such laws, regulations or rulings, which change or amendment is announced or becomes effective on or after November 21, 2019, we become or, based upon a written opinion of independent tax counsel of recognized standing selected by us, will become obligated to pay Additional Amounts as described herein under the heading “—Payment of Additional Amounts” with respect to any series of the Senior Notes, then we may at any time, at our option, redeem the applicable series of Senior Notes, in whole, but not in part, at a redemption price equal to 100% of the principal amount thereof, plus accrued and unpaid interest, if any, to but excluding the redemption date (subject to the right of holders of record on the relevant record date to receive interest due on any interest payment date that is on or prior to the redemption date).</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Selection and Notice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(or at our request, the paying agent on our behalf) will give written notice prepared by us of any redemption of the Senior Notes to holders of the Senior Notes to be redeemed at their addresses, as shown in the security register for the affected notes, not more than 60 nor less than 15 days prior to the date fixed for redemption. The notice of redemption will specify, among other items, the aggregate principal amount of the applicable series of Senior Notes to be redeemed, the redemption date and the redemption price, or if not then ascertainable, the manner of calculation thereof. Any redemption or notice of any redemption may, at our discretion, be subject to one or more conditions precedent, including, but not limited to, completion of an equity offering, other offering, issuance of indebtedness or other transaction or event.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we choose to redeem fewer than all of the Senior Notes of a series, then the Trustee will select, by lot, the Senior Notes to be redeemed in part; provided, that with respect to Senior Notes issued in global form, beneficial interests therein shall be selected for redemption by Euroclear or Clearstream in accordance with their standard procedures. See also “—Book-Entry Delivery and Form” below.</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we have given notice as provided in the Indenture and made funds irrevocably available for the redemption of the Senior Notes called for redemption on the redemption date referred to in that notice, then those Senior Notes will cease to bear interest on that redemption date and the only remaining right of the holders of those Senior Notes will be to receive payment of the redemption price.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Senior Notes will not be subject to, or have the benefit of, a sinking fund.</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Purchase of Senior Notes upon a Change of Control Triggering Event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 Change of Control Triggering Event occurs with respect to a series of Senior Notes, holders of such Senior Notes will have the right to require us to purchase all or any part of their Senior Notes of the applicable series pursuant to the offer described below (the “Change of Control Offer”) (provided that with respect to Euro Notes of the applicable series submitted for purchase in part, the remaining portion of such Euro Notes is in a principal amount of €100,000 or an integral multiple of €1,000 in excess thereof, or with respect to the Sterling Notes of the applicable series submitted for purchase in part, the remaining portion of such Sterling Notes is in a principal amount of £100,000 or an integral multiple of £1,000 in excess thereof). In the Change of Control Offer, we will be required to offer payment in cash equal to 101% of the aggregate principal amount of the Senior Notes purchased plus accrued and unpaid interest, if any, to but excluding the date of purchase (the “Change of Control Payment”). Within 30 days following any Change of Control Triggering Event with respect to a series of Senior Notes, we will be required to transmit in accordance with the ICSDs’ standard procedures therefor, a notice to the holders of such Senior Notes describing the transaction or transactions that constitute the Change of Control Triggering Event and offering to purchase such Senior Notes on the date specified in the notice, which date will be no earlier than 15 days and no later than 60 days from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date such notice is sent (the “Change of Control Payment Date”), pursuant to the procedures required by such Senior Notes and described in such notice. The notice will, if sent prior to the date of the consummation of the Change of Control, state that the offer to purchase is conditioned on the Change of Control Triggering Event occurring on or prior to the Change of Control Payment Date. We must comply with the requirements of Rule 14e-1 under the Exchange Act and any other securities laws and regulations thereunder to the extent those laws and regulations are applicable in connection with the purchase of the Senior Notes as a result of a Change of Control Triggering Event. To the extent that the provisions of any securities laws or regulations conflict with the change of control provisions of the Senior Notes, we will be required to comply with the applicable securities laws and regulations and will not be deemed to have breached our obligations under the change of control provisions of the Senior Notes by virtue of such conflicts. On the Change of Control Payment Date, we will be required, to the extent lawful, to:</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accept for payment all Senior Notes or portions of Senior Notes of the applicable series properly tendered pursuant to the Change of Control Offer;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deposit with the paying agent an amount equal to the Change of Control Payment in respect of all Senior Notes or portions of Senior Notes of the applicable series properly tendered; and</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deliver or cause to be delivered to the Trustee the Senior Notes of the applicable series properly accepted together with an officers’ certificate stating the aggregate principal amount of Senior Notes or portions of Senior Notes of the applicable series being purchased.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paying agent will promptly transmit in accordance with the ICSDs’ standard procedures therefor, to each holder of Senior Notes properly tendered the purchase price for the Senior Notes, and the Trustee will promptly authenticate and deliver (or cause to be transferred by book-entry) to each holder a new Senior Note equal in principal amount to any unpurchased portion of any Senior Notes surrendered; provided that, with respect to the Euro Notes, each new Euro Note will be in a principal amount of €100,000 and any integral multiple of €1,000 in excess thereof, and with respect to the Sterling Notes, each new Sterling Note will be in a principal amount of £100,000 and any integral multiple of £1,000 in excess thereof.</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will not be required to make an offer to purchase any Senior Notes upon a Change of Control Triggering Event if (1) a third party makes such an offer in the manner, at the times and otherwise in compliance with the requirements for an offer made by us, and such third party purchases all Senior Notes of the applicable series properly tendered and not withdrawn under its offer; or (2) prior to the occurrence of the related Change of Control Triggering Event, we have given written notice of a redemption of the Senior Notes of the applicable series to the holders thereof as provided under “—Optional Redemption,” if applicable, above, unless we have failed to pay the redemption price on the redemption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the foregoing discussion of a purchase at the option of holders, the following definitions are applicable:</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Below Investment Grade Rating Event” means, with respect to a series of Senior Notes, the rating on such Senior Notes is lowered by each of the Rating Agencies and such Senior Notes are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Senior Notes is under publicly announced consideration for possible downgrade by any Rating Agency).</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 and our subsidiaries taken as a whole to any “person” or “group” (as those terms are used in Section 13(d)(3) of the Exchange Act) other than us or one of our subsidiaries; (2) the approval by the holders of our common stock of any plan or proposal for the liquidation or dissolution of FIS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 consolidates or merges with or into any entity, pursuant to a transaction in which any of the outstanding voting stock of FIS or such other entity is converted into or exchanged for cash, securities or other property (except when voting stock of FIS constitutes, or is converted into, or exchanged for, at least a majority of the voting stock of the surviving person).</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Change of Control Triggering Event” means, with respect to a series of Senior Notes, the occurrence of both a Change of Control and a Below Investment Grade Rating Event with respect to such series.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Fitch” means Fitch Ratings, Inc.</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Investment Grade Rating” means a rating equal to or higher than BBB- (or the equivalent) by Fitch, Baa3 (or the equivalent) by Moody’s and BBB- (or the equivalent) by S&amp;P, respectively.</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Moody’s” means Moody’s Investors Service, Inc.</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Ratings Agencies” means each of Fitch, Moody’s and S&amp;P, so long as such entity makes a rating of the applicable series of Senior Notes publicly available; provided, however, if any of Fitch, Moody’s or S&amp;P ceases to rate the applicable series of Senior Notes or fails to make a rating of such Senior Notes publicly available for reasons outside of the control of FIS, FIS shall be allowed to designate a “nationally recognized statistical rating organization” within the meaning of Rule 15c3-l(e)(2)(vi)(F) under the Exchange Act (as certified by a resolution of the board of directors of FIS) as a replacement agency for the agency that ceased to make such a rating publicly available. For the avoidance of doubt, failure by FIS to pay rating agency fees to make a rating of the Senior Notes shall not be a “reason outside of the control of FIS” for the purposes of the preceding sentence.</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S&amp;P” means Standard &amp; Poor’s Global Ratings, a division of S&amp;P Global Inc.</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definition of Change of Control includes a phrase relating to the direct or indirect sale, lease, transfer,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Senior Notes to require us to purchase its Senior Notes as a result of a sale, lease, transfer, conveyance or other disposition of less than all of the properties and assets of us and our subsidiaries taken as a whole to another person or group may be uncertain.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Restrictive Covenants</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Limitation on Liens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shall not, and shall not permit any of our subsidiaries to, create or assume any mortgage, pledge, lien, charge, security interest, conditional sale or other title retention agreement or other encumbrance (“lien”) on any Principal Facility, or upon any stock or Debt of any of our subsidiaries, to secure Debt unless the Senior Notes then outstanding are, for so long as such Debt is so secured, secured by such lien equally and ratably with (or prior to) such Debt. However, this requirement does not apply to:</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liens existing on the date of the Indenture;</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any lien for taxes or assessments or other governmental charges or levies not overdue for more than 30 days (or which, if due and payable, are being contested in good faith and for which adequate reserves are being maintained, to the extent required by GAAP) or the nonpayment of which in the aggregate would not reasonably be expected to have a material adverse effect on us and our subsidiaries taken as a whole;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any warehousemen’s, materialmen’s, landlord’s or other similar liens arising by law for sums not overdue for more than 30 days (or which, if due and payable, are being contested in good faith and with respect to which adequate reserves are being maintained, to the extent required by GAAP) or the nonpayment of which in the aggregate would not reasonably be expected to have a material adverse effect on us and our subsidiaries taken as a whole;</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survey exceptions, encumbrances, easements or reservations of, or rights of others for, licenses, rights-of-way, sewers, electric lines, telephone lines and other similar purposes, or zoning or other similar restrictions as to the use of real properties or liens incidental to the conduct of the business of such person or to the ownership of its properties which do not individually or in the aggregate materially adversely affect the value of FIS and its subsidiaries taken as a whole or materially impair the operation of the business of FIS and its subsidiaries taken as a whole;</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pledges or deposits (i) in connection with workers’ compensation, unemployment insurance and other types of statutory obligations or the requirements of any official body; (ii) to secure the performance of tenders, bids, surety, stay, customs, appeals, or performance bonds, leases, purchase, construction, sales or servicing contracts (including utility contracts) and other similar obligations incurred in the normal course of business consistent with industry practice (including, without limitation, those to secure health, safety and environmental obligations); (iii) to obtain or secure obligations with respect to letters of credit, guarantees, bonds or other sureties or assurances given in connection with the activities described in clauses (i) and (ii) above, in each case not incurred or made in connection with the borrowing of money, the obtaining of advances or credit or the payment of the deferred purchase price of property or services or imposed by ERISA or the Internal Revenue Code (the “Code”) in connection with a “plan” (as defined in ERISA); or (iv) arising in connection with any attachment unless such liens shall not be satisfied or discharged or stayed pending appeal within 60 days after the entry thereof or the expiration of any such stay;</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liens on property or assets of a person existing at the time such person is acquired or merged with or into or consolidated with us or with a subsidiary, or becomes a subsidiary (and not created or incurred in anticipation of such transaction), provided that such liens are not extended to our property and assets or the property and assets of our subsidiaries, other than the property or assets acquired;</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rPr>
        <w:t>liens securing Debt of a subsidiary owed to and held by us or by our subsidiaries;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rPr>
        <w:t xml:space="preserve">liens to secure any permitted extension, renewal, refinancing or refunding (or successive extensions, renewals, refinancings or refundings), in whole or in part, of any Debt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secured by liens referred to in clauses (1), (6), (10) and (11) hereof; provided that such liens do not extend to any other property or assets (other than improvements, accessions, or proceeds in respect thereof) and the principal amount of the obligations secured by such liens is not increased;</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rPr>
        <w:t>liens upon specific items of inventory or other goods and proceeds of any person securing such person’s obligation in respect of banker’s acceptances issued or created in the ordinary course of business for the account of such person to facilitate the purchase, shipment, or storage of such inventory or other goods;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rPr>
        <w:t>liens securing Debt incurred to finance the construction, purchase or lease of, or repairs, improvements or additions to, property, plant or equipment of such person; provided, however, that the lien may not extend to any other property owned by such person at the time the lien is incurred (other than assets and property affixed or appurtenant thereto and proceeds thereof), and the Debt (other than any interest thereon) secured by the lien may not be incurred more than 270 days after the later of the acquisition, completion of construction, repair, improvement, addition or commencement of full operation of the property subject to the lien;</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rPr>
        <w:t>liens on property or assets existing at the time of the acquisition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rPr>
        <w:t>liens (i) that are contractual rights of set-off (A) relating to the establishment of depository relations with banks not given in connection with the issuance of Debt, (B) relating to our pooled deposit or sweep accounts to permit satisfaction of overdraft or similar obligations and other cash management activities incurred in the ordinary course of business or (C) relating to purchase orders and other agreements entered into with our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Operations in the cash provided by such institutions for such Vault Cash Operations;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rPr>
        <w:t>liens pursuant to the terms and conditions of any contracts between us or any subsidiary and the U.S. government;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rPr>
        <w:t>liens arising in connection with the Cash Management Practices;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rPr>
        <w:t>Settlement Liens;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rPr>
        <w:t>liens not otherwise permitted under the Indenture securing Debt in an aggregate principal amount that, together with the aggregate Attributable Value of property involved in sale and leaseback transactions permitted by clause (i) of “Limitation on Sale Leaseback Transactions” below and all other Debt then secured by liens permitted only pursuant to this clause (16), does not exceed 10% of our consolidated net worth.</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lien, if any, granted, pursuant to the provisions described above, to secure the Senior Notes shall automatically and unconditionally be deemed to be released and discharged upon the release and discharge of the lien whose existence caused the Senior Notes to be required to be so secured. For purposes of determining compliance with this covenant, any lien need not be permitted solely by reference to one category of permitted liens but may be permitted in part by one provision and in part by one or more other provisions. In the event that a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lien securing Debt or any portion thereof meets the criteria of more than one such provision, we shall divide and classify and may later re-divide and reclassify such lien in our sole discretion.</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Limitation on Sale-Leaseback Transactions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not sell or transfer, and will not permit any subsidiary to sell or transfer (except to us or one or more subsidiaries, or both), any Principal Facility owned by FIS or any of its subsidiaries with the intention of taking back a lease on such facility longer than 36 months, unless (1) the sum of the aggregate Attributable Value of the property involved in sale and leaseback transactions not otherwise permitted plus the aggregate principal amount of Debt secured by all liens permitted only by clause (16) of “Limitation on Liens” above does not exceed 10% of our consolidated net worth; or (2) within 270 days after such sale or transfer, we apply an amount equal to the greater of the net proceeds of the sale or the fair market value of the property sold to the purchase of real property or the retirement of Senior Notes or other long-term Debt of us or our subsidiaries, other than any such Debt that is expressly subordinated to the Senior Notes.</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 xml:space="preserve">Consolidation, Merger, Sale of Assets and Other Transactions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not, in any transaction or series of related transactions, consolidate or merge with or into, or sell, assign, convey, transfer, lease or otherwise dispose of all or substantially all of the assets of FIS and its subsidiaries, taken as a whole, to, any person unless:</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the person formed by or surviving any such consolidation or merger (if other than FIS), or which acquires by sale, assignment, conveyance, transfer, lease or other disposition of all or substantially all of our assets, is a corporation, limited partnership, limited liability company or similar entity organized and validly existing under the laws of the United States of America, any state thereof or the District of Columbia and, if such entity is not a corporation, a co-obligor of the Senior Notes is a corporation organized or existing under any such laws;</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the person formed by or surviving any such consolidation or merger (if other than FIS), or which acquires by sale, assignment, conveyance, transfer, lease or other disposition of all or substantially all of our assets, expressly assumes by supplemental indenture, in a form satisfactory to the Trustee, the due and punctual payment of all amounts due in respect of the principal of and premium, if any, and interest on the Senior Notes and the performance of all of our obligations under the Senior Notes and the Indenture; and</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immediately after giving effect to the transaction no Event of Default or event which, after notice or lapse of time or both, would become an Event of Default, shall have occurred and be continuing.</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shall deliver to the Trustee prior to the proposed transaction an officers’ certificate and an opinion of counsel each stating that the proposed transaction and such supplemental indenture comply with the Indenture and that all conditions precedent to the consummation of the transaction under the Indenture have been met.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we consolidate or merge with or into any other corporation, limited partnership, limited liability company or similar entity or sell, assign, convey, transfer, lease or otherwise dispose of all or substantially all of our assets according to the terms and conditions of the Indenture, the resulting or acquiring entity will be substituted for us under the Indenture with the same effect as if it had been an original party to the Indenture. As a result, such successor corporation may exercise our rights and powers under the Indenture, in our name or its own name, and, except in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case of a lease, we will be released from all our liabilities and obligations under the Indenture and under the Senior Notes.</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 xml:space="preserve">Definitions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Set forth below is a summary of certain of the defined terms used in the foregoing provisions. Reference is made to the Indenture for the full definition of all such terms, as well as any other terms used above for which no definition is provided.</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Affiliate” means, with respect to any person, any other person directly or indirectly controlling, directly or indirectly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 For the avoidance of doubt, Fidelity National Financial, Inc., Black Knight InfoServ, LLC (formerly known as Lender Processing Services, Inc.), and each of their respective subsidiaries, shall not be deemed to be Affiliates of FIS or any of its subsidiaries solely due to overlapping officers or directors.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Attributable Value” in respect of any sale and leaseback transaction means, as of the time of determination, the lesser of (1) the sale price of the Principal Facility involved in such transaction multiplied by a fraction the numerator of which is the remaining portion of the base term of the lease included in such sale and leaseback transaction and the denominator of which is the base term of such lease and (2)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Cash Management Practices” means the cash, Eligible Cash Equivalents, and short-term investment management practices of FIS and its subsidiaries as approved by our board of directors or chief financial officer from time to time, including Debt of us or any of our subsidiaries having a maturity of 92 days or less representing the borrowings from any financial institution with which we or any of our subsidiaries has a depository or other investment relationship in connection with such practices (or any Affiliate of such financial institution), which borrowings may be secured by the cash, Eligible Cash Equivalents and other short-term investments purchased by us or any of our subsidiaries with the proceeds of such borrowings.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Credit Agreement” means the Seventh Amended and Restated Credit Agreement, dated as of September 21, 2018, among FIS, J.P. Morgan Chase Bank, N.A., as administrative agent, and various financial institutions and other persons from time to time party thereto, as amended by that certain Amendment Agreement, dated as of March 29, 2019, that certain Second Amendment Agreement, dated as of April 5, 2019, that certain Third Amendment and Joinder Agreement, dated as of May 29, 2019, and as may be further amended, supplemented, or modified from time to time after the date thereof.</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Credit Facilities” means one or more credit facilities (including the Credit Agreement) with banks or other lenders providing for revolving loans or term loans or the issuance of letters of credit or bankers’ acceptances or the like.</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 xml:space="preserve">Debt” means, in respect of any person, (1) all indebtedness in respect of borrowed money, (2) all obligations of such person evidenced by bonds, notes, debentures or similar instruments and (3) the indebtedness of any other persons of the foregoing types to the extent guaranteed by such person; but only, for each of clauses (1) through (3), if and to the extent any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 the foregoing indebtedness would appear as a liability upon an unconsolidated balance sheet of such person prepared in accordance with GAAP (but not including contingent liabilities which appear only in a footnote to a balance sheet).</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Eligible Bank” means a bank or trust company (1) that is organized and existing under the laws of the United States or Canada, or any state, territory, province or possession thereof and (2) the senior Debt of which is rated at least “A3” by Moody’s or at least “A-” by S&amp;P.</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Eligible Cash Equivalents” means any of the following: (1) securities issued or directly and fully guaranteed or insured by the United States or any agency or instrumentality thereof (provided that the full faith and credit of the United States is pledged in support thereof) maturing not more than one year after the date of acquisition (or such other maturities if not prohibited by the Credit Agreement); (2) time deposits in and certificates of deposit of any Eligible Bank (or in any other financial institution to the extent the amount of such deposit is within the limits insured by the Federal Deposit Insurance Corporation), provided that such investments have a maturity date not more than two years after the date of acquisition and that the average life of all such investments is one year or less from the respective dates of acquisition; (3) repurchase obligations with a term of not more than 180 days for underlying securities of the types described in clause (1) above or clause (4) below entered into with any Eligible Bank or securities dealers of recognized national standing; (4) direct obligations issued by any state of the United States or any political subdivision or public instrumentality thereof, provided that such investments mature, or are subject to tender at the option of the holder thereof, within 365 days after the date of acquisition (or such other maturities if not prohibited by the Credit Agreement) and, at the time of acquisition, have a rating of at least “A-2” or “P-2” (or long-term ratings of at least “A3” or “A-”) from either S&amp;P or Moody’s, or, with respect to municipal bonds, a rating of at least MIG 2 or VMIG 2 from Moody’s (or equivalent ratings by any other nationally recognized rating agency); (5) commercial paper of any person other than an Affiliate of FIS and other than structured investment vehicles, provided that such investments have a rating of at least A-2 or P-2 from either S&amp;P or Moody’s and mature within 180 days after the date of acquisition (or such other maturities if not prohibited by the Credit Agreement); (6) overnight and demand deposits in and bankers’ acceptances of any Eligible Bank and demand deposits in any bank or trust company to the extent insured by the Federal Deposit Insurance Corporation against the Bank Insurance Fund; (7) money market funds (and shares of investment companies that are registered under the Investment Company Act of 1940) substantially all of the assets of which comprise investments of the types described in clauses (1) through (6); (8) United States dollars, or money in other currencies received in the ordinary course of business; (9) asset-backed securities and corporate securities that are eligible for inclusion in money market funds; (10) fixed maturity securities which are rated BBB- and above by S&amp;P or Baa3 and above by Moody’s; provided that such investments will not be considered Eligible Cash Equivalents to the extent that the aggregate amount of investments by us and our subsidiaries in fixed maturity securities which are rated BBB+, BBB or BBB- by S&amp;P or Baa1, Baa2 or Baa3 by Moody’s exceeds 20% of the aggregate amount of investments in fixed maturity securities by us and our subsidiaries; and (11) instruments equivalent to those referred to in clauses (1) through (6) above or funds equivalent to those referred to in clause (7) above denominated in Euros or any other foreign currency customarily used by corporations for cash management purposes in jurisdictions outside the United States to the extent advisable in connection with any business conducted by FIS or any of its subsidiaries, all as determined in good faith by FIS.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Principal Facility” means the real property, fixtures, machinery and equipment relating to any facility owned by us or any subsidiary, except for any facility that, in the opinion of our board of directors, is not of material importance to the business conducted by us and our subsidiaries,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means the transfer of cash or other property with respect to any credit, charge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Asset” 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Debt” means any payment or reimbursement obligation in respect of a Settlement Payment.</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Lien” means any lien relating to any Settlement or Settlement Debt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Payment” means the transfer, or contractual undertaking (including by automated clearing house transaction) to effect a transfer, of cash or other property to effect a Settlement.</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Settlement Receivable” means any general intangible, payment intangible, or instrument representing or reflecting an obligation to make payments to or for the benefit of a person in consideration for and in the amount of a Settlement made or arranged, or to be made or arranged, by such person.</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Vault Cash Operations” means the vault cash or other arrangements pursuant to which various financial institutions fund the cash requirements of automated teller machines and cash access facilities operated by us or our subsidiaries at customer locations.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Events of Default, Notice and Waiver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shall constitute “Events of Default” under the Indenture with respect to the Senior Notes of a particular series: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default in the payment of any interest on the Senior Notes of such series when due and payable and continuance of such default for a period of 30 days;</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default in the payment of any principal of or premium, if any, on the Senior Notes of such series when due (whether at stated maturity, upon redemption, purchase at the option of the holder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default in the performance, or breach, of any covenant or warranty with respect to the Senior Notes of such series (other than a covenant or warranty a default in whose performance or whose breach is specifically dealt with elsewhere in clauses (1), (2) or (4) through (6) or a covenant or warranty which is solely for the benefit of another series of securities), and the continuance of such default or breach for a period of 60 days after there has been given written notice of such default or breach (which notice shall, among other things, state that such notice is a “Notice of Default” under the Indenture) to us (by registered or certified mail) by the Trustee or to us and the Trustee (in each case by registered or certified mail) by holders of at least 25% in aggregate principal amount of the outstanding Senior Notes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default in the payment by us, when due (after the expiration of any applicable grace period thereto), of an aggregate principal amount of Debt in respect of borrowed money (other than the Senior Notes) exceeding $300 million, or default which results in such Debt (other than the Senior Notes) in an aggregate principal amount exceeding $300 million becoming or being declared due and payable prior to the date on which it would otherwise have become due and payable, in each case without such acceleration having been rescinded or annulled, or such Debt having been paid in full, or there having been deposited into trust a sum of money sufficient to pay in full such Debt, within 15 days after receipt of written notice of such default or breach (which notice shall state that such notice is a “Notice of Default” under the Indenture) to us (by registered or certified mail) by the Trustee or to us and the Trustee (in each case by registered or certified mail) by holders of at least 25% in aggregate principal amount of the outstanding Senior Notes of such series;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certain events of bankruptcy, insolvency or reorganization of FIS;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the denial or disaffirmance by any Subsidiary Guarantor of such Subsidiary Guarantor’s obligations under its guarantee of the Senior Notes of such series, or the holding of any such guarantee as being unenforceable or invalid in any judicial proceeding, or any such guarantee ceasing to be in full force and effect, except as permitted under the 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the Senior Notes of a particular series occurs and is continuing, other than an Event of Default arising from certain events of bankruptcy, insolvency or reorganization of FIS, then the Trustee or the holders of at least 25% in aggregate principal amount of the outstanding Senior Notes of such series may declare, by written notice to us (and if given by the holders, to the Trustee), the principal of and accrued interest, if any, on all the Senior Notes of such series to be due and payable immediately; provided that, after such a declaration of acceleration, the holders of a majority in aggregate principal amount of the Senior Notes of such series may, by written notice to the Trustee, rescind or annul such declaration and its consequences if all Events of Default, other than the non-payment of accelerated principal of or interest, if any, on the Senior Notes of such series, have been cured or waived as provided in the Indenture. An Event of Default arising from certain events of bankruptcy, insolvency or reorganization of FIS shall cause the principal of and accrued interest, if any, on all the Senior Notes of each series to be due and payable immediately without any declaration or other act by the Trustee, the holders of any series of Senior Notes or any other party.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a majority in aggregate principal amount of the outstanding Senior Notes of a particular series, by written notice to the Trustee, may waive any past default or event of default with respect to the Senior Notes of such series except (1) a default or event of default in the payment of the principal of, or premium, if any, or interest on, the Senior Notes of such series or (2) default in respect of a covenant or provision which may not be amended or modified without the consent of each holder of Senior Notes of such series affected. Upon any such waiver, such default shall cease to exist, and any event of default arising therefrom shall be deemed to have been cured.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Trustee is not required to exercise any of the rights or powers vested in it by the Indenture at the request or direction of any of the holders of the Senior Notes of any series, unless the holders have offered the Trustee security or indemnity satisfactory to the Trustee. Subject to such right of indemnification and to certain other limitations, the holders of a majority in aggregate principal amount of the outstanding Senior Notes of a particular series may direct the time, method and place of conducting any proceeding for any remedy available to the Trustee or exercising any trust or power conferred on the Trustee with respect to the Senior Notes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holder of any Senior Note of any series may institute any proceeding with respect to the Indenture or for the appointment of a receiver or trustee or for any other remedy unless (1) the holder has given to the Trustee written notice of a continuing Event of Default with respect to the Senior Notes of such series, (2) the holders of at least 25% in aggregate principal amount of the outstanding Senior Notes of such series shall have made a written request to the Trustee to institute proceedings in respect of such Event of Default in its own name as Trustee, (3) the holders have offered to the Trustee indemnity satisfactory to the Trustee against any loss, liability or expense to be incurred in pursuing the remedy, (4) the Trustee has failed to institute any such proceedings for 60 days after its receipt of such request, and (5) during such 60 day period, the holders of a majority in aggregate principal amount of the outstanding Senior Notes of such series have not given to the Trustee a direction inconsistent with such written request. Such limitations do not apply, however, to a suit instituted by a holder of any Senior Note of any series directly (as opposed to through the Trustee) for enforcement of payment of principal of, and premium, if any, or interest on such Senior Note on or after the respective due dates expressed or provided for therein.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year, we will either certify to the Trustee that we are not in default of any of our obligations under the Indenture or we will notify the Trustee of any default that exists under the Indenture. We are not otherwise required to deliver to the Trustee notice of the occurrence of any default or Event of Default.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Discharge, Defeasance and Covenant Defeasance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and, if applicable, each Subsidiary Guarantor, may discharge or defease our obligations under the Indenture as set forth below.</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discharge certain obligations to holders of the Senior Notes which have not already been delivered to the Trustee for cancellation and which have either become due and payable or are by their terms due and payable within one year (or scheduled for redemption within one year) by irrevocably depositing with the Trustee cash or Government Obligations or a combination thereof, as trust funds in an amount certified to be sufficient to pay and discharge when due, whether at maturity, upon redemption or otherwise, the principal of, and premium, if any, and interest on, the Senior Notes.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elect, at our option, either (i) to defease and be discharged from any and all obligations with respect to the Senior Notes (except as otherwise provided in the Indenture) (“defeasance”) or (ii) to be released from our obligations with respect to certain covenants applicable to the Senior Notes (“covenant defeasance”), upon the deposit with the Trustee of money and/or Government Obligations in sufficient quantity, in the opinion of any firm of independent public accountants, to pay the principal of, and any premium, if any, or interest on, the Senior Notes to maturity or redemption.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a condition to defeasance or covenant defeasance, we must deliver to the Trustee an opinion of counsel to the effect that the holders of the Senior Notes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(“IRS”) or a change in applicable U.S. federal income tax law occurring after the date of the Indenture. In addition, in the case of either defeasance or covenant defeasance, we shall have delivered to the trustee an officers’ certificate and an opinion of counsel, each stating that all conditions precedent to such defeasance or covenant defeasance have been complied with.</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exercise our defeasance option notwithstanding our prior exercise of our covenant defeasance option.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we effect covenant defeasance with respect to the Senior Notes as described in the accompanying prospectus, then the covenants described above under “—Restrictive Covenants” and “—Purchase of Senior Notes upon a Change of Control Triggering Event” will cease to be applicable to the Senior Notes.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the Senior Notes, “Government Obligations” means (i) with respect to the Euro Notes, securities denominated in euro that are (A) direct obligations of the Federal Republic of Germany or any country that is a member of the European Monetary Union whose long-term debt is rated “A-1” or higher by Moody’s or “A+” or higher by S&amp;P or the equivalent rating category of another internationally recognized rating agency, the payments of which are supported by the full faith and credit of the German government or such other member of the European Monetary Union, or (B) obligations of a person controlled or supervised by and acting as an agency or instrumentality of the Federal Republic of Germany or such other member of the European Monetary Union, the timely payments of which are unconditionally guaranteed as a full faith and credit obligation of the German government or such other member of the European Monetary Union; and (ii) with respect to the Sterling Notes, securities denominated in GBP, that are (A) direct obligations of the United Kingdom, the payments of which are supported by the full faith and credit of the United Kingdom, or (B) obligations of a person controlled or supervised by and acting as an agency or instrumentality of the United Kingdom, the timely payments of which are unconditionally guaranteed as a full faith and credit obligation of the United Kingdom.</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Modification of the 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the Indenture, we, each Subsidiary Guarantor, if any, and the Trustee, at any time and from time to time, may enter into supplemental indentures without the consent of any holders of the Senior Notes of a particular series to:</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evidence the succession of another person to FIS or any Subsidiary Guarantor and the assumption by any such successor of the covenants of FIS or of such Subsidiary Guarantor in the Indenture and in the Senior Notes of such series;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add to the covenants of FIS or of any Subsidiary Guarantor for the benefit of the holders of the Senior Notes of such series or surrender any right or power conferred upon FIS or such Subsidiary Guarantor in the Indenture or in the Senior Notes of such series;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add any additional Events of Default with respect to the Senior Notes of such series;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add to or change any of the provisions of the Indenture to such extent as shall be necessary to facilitate the issuance of bearer securities or to facilitate the issuance of Senior Notes of such series in global form;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amend or supplement any provision contained in the Indenture or in any supplemental indentures, provided that such amendment or supplement does not apply to any outstanding Senior Notes of such series issued prior to the date of such supplemental indenture and entitled to the benefits of such provision;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secure the Senior Notes of such series; or</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establish the form or terms of the Senior Notes of such series as permitted by the Indenture;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add or release any Subsidiary Guarantor as required or permitted by the Indenture;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evidence and provide for the acceptance of appointment by a successor trustee with respect to the Senior Notes of such series under the Indenture and add to or change any of the provisions of the Indenture as shall be necessary to provide for or facilitate the administration of the trusts by more than one trustee under the Indenture;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if allowed without penalty under applicable laws and regulations, permit payment in the United States of principal, premium, if any, or interest, if any, on bearer securities or coupons, if any;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cure or reform any ambiguity, defect, omission, mistake, manifest error or inconsistency, or conform the Indenture or the Senior Notes of such series to any provision of the description thereof set forth in the prospectus, as supplemented as of the time of sale, under which such Senior Notes were sold;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make any other change that does not adversely affect the rights of any holder;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make any change to comply with the Trust Indenture Act or any amendment thereof, or any requirement of the SEC in connection with the qualification of the Indenture under the Trust Indenture Act or any amendment thereof.</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the consent of the holders of a majority in aggregate principal amount of the outstanding Senior Notes of a particular series affected by such supplemental indenture, we, each Subsidiary Guarantor, if any, and the Trustee may enter into supplemental indentures other than those described in the immediately preceding paragraph to add provisions to, or change or eliminate any provisions of the Indenture or any supplemental indenture or to modify the rights of the holders of the Senior Notes of such series so affected. However, we need the consent of the holder of each outstanding Senior Note of a particular series affected in order to:</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change the stated maturity of the principal of or premium, if any, on or of any installment of principal of or premium, if any, or interest, if any, on, or Additional Amounts, if any, with respect to, any Senior Note of such series;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reduce the principal amount of, or any installment of principal of, or premium, if any, or interest, if any, on, or any Additional Amounts payable with respect to, any Senior Note of such series or the rate of interest on any Senior Note of such series;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reduce the amount of premium, if any, payable upon redemption of any Senior Note of such series or the purchase by us of any Senior Note of such series at the option of the holder of such Senior Note;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change the manner in which the amount of any principal of or premium, if any, or interest on or Additional Amounts, if any, with respect to, any Senior Note of such series is determined;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reduce the amount of the principal of any original issue discount security or indexed security that would be due and payable upon a declaration of acceleration of the maturity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change the currency in which any Senior Note of such series or any premium or the interest thereon or Additional Amounts, if any, with respect thereto, is payable;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change the index, securities or commodities with reference to which or the formula by which the amount of principal of or any premium or the interest on any Senior Note of such series is determined;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impair the right to institute suit for the enforcement of any payment on or after the stated maturity thereof (or on or after the redemption date or on or after the purchase date, as the case may be);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except as provided in the Indenture, release the guarantee of any Subsidiary Guarantor with respect to such series of Senior Notes;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reduce the percentage in principal amount of the outstanding Senior Notes of such series, the consent of whose holders is required for any such supplemental indenture or for any waiver (of compliance with certain provisions of the Indenture or certain defaults under the Indenture and their consequences) provided for in the Indenture;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change any obligation of FIS to maintain an office or agency in the places and for the purposes specified in the Indenture; or</w:t>
      </w:r>
    </w:p>
    <w:p>
      <w:pPr>
        <w:pStyle w:val="TextBody"/>
        <w:bidi w:val="0"/>
        <w:spacing w:lineRule="auto" w:line="240" w:before="0" w:after="240"/>
        <w:ind w:left="0" w:right="0" w:hanging="540"/>
        <w:jc w:val="left"/>
        <w:rPr/>
      </w:pPr>
      <w:r>
        <w:rPr>
          <w:color w:val="000000"/>
        </w:rPr>
        <w:t>•</w:t>
      </w:r>
      <w:r>
        <w:rPr>
          <w:rFonts w:ascii="Times New Roman;serif" w:hAnsi="Times New Roman;serif"/>
          <w:b w:val="false"/>
          <w:color w:val="000000"/>
          <w:sz w:val="24"/>
        </w:rPr>
        <w:t>make any change in the provision governing waiver of past defaults, except to increase the percentage in principal amount of the outstanding Senior Notes of such series, the holders of which may waive past defaults on behalf of holders of the Senior Notes of such series or make any change in the provision governing supplemental indentures that requires consent of holders of the Senior Notes of such series, except to provide that certain other provisions of the Indenture cannot be modified or waived without the consent of the holders of each outstanding Senior Note of such series affected thereby.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Governing Law</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Indenture and the Senior Notes are governed by, and shall be construed in accordance with, the internal laws of the State of New York.</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Relationship with the Trustee and Paying Agent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Trustee under the Indenture is The Bank of New York Mellon Trust Company, N.A. We and our subsidiaries maintain ordinary banking and trust relationships with a number of banks and trust companies, including the Trustee. The Bank of New York Mellon, London Branch, will act as our paying agent with respect to the Senior Notes, subject to replacement upon certain events specified in the Indenture. The Senior Notes may be exchanged or transferred, subject to and upon satisfaction of the terms and conditions set forth in the Indenture, at the office or agency maintained for such purpose in London, initially the corporate trust office of the paying agent. Upon notice to the Trustee, we may change any paying agent.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Book-Entry Delivery and Form</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Euro Notes are issuable only in denominations of €100,000 and integral multiples of €1,000 in excess thereof. The Sterling Notes are issuable only in denominations of £100,000 and integral multiples of £1,000 in excess thereof. The Senior Notes of either series are initially represented by one or more fully registered Global Notes. Each such Global Note was deposited with, or on behalf of, a common depositary, and registered in the name of the nominee of the common depositary for the accounts of Clearstream and Euroclear. Except as set forth below,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Global Notes may be transferred, in whole and not in part, only to Euroclear or Clearstream or their respective nominees. An investor may hold interests in the Global Notes in Europe through Clearstream or Euroclear, either as a participant in such systems or indirectly through organizations that are participants in such systems. The procedures and policies of such entities will govern payments, transfers, exchanges and other matters relating to an investor’s interest in Senior Notes held through them.</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provided below, owners of beneficial interests in the Senior Notes will not be entitled to have the Senior Notes registered in their names, will not receive or be entitled to receive physical delivery of the Senior Notes in definitive form and will not be considered the owners or holders of the Senior Notes under the indenture, including for purposes of receiving any reports delivered by us or the Trustee pursuant to the indenture. Accordingly, each person owning a beneficial interest in a Senior Note must rely on the procedures of the depositary and, if such person is not a participant, on the procedures of the participant through which such person owns its interest, in order to exercise any rights of a holder of Senior Notes.</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Certificated Notes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Clearstream or Euroclear is at any time unwilling or unable to continue as depositary or ceases to be a clearing agency registered under the Exchange Act, and a successor depositary registered as a clearing agency under the Exchange Act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Upon the issuance of certificated Senior Notes, the registrar is required to register the certificated Senior Notes in the name of that person or persons, or their nominee, and cause the certificated Senior Notes to be delivered thereto.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Senior Notes of an applicable series shall no longer be represented by a Global Note and will issue Senior Notes in definitive form in exchange for such Global Note pursuant to the procedure described above.</w:t>
      </w:r>
    </w:p>
    <w:p>
      <w:pPr>
        <w:pStyle w:val="TextBody"/>
        <w:bidi w:val="0"/>
        <w:spacing w:before="0" w:after="0"/>
        <w:jc w:val="center"/>
        <w:rPr/>
      </w:pPr>
      <w:bookmarkStart w:id="1" w:name="listofsubsfinalcompanies.htm"/>
      <w:bookmarkStart w:id="2" w:name="kslistofsubsfinalcompanies"/>
      <w:bookmarkEnd w:id="1"/>
      <w:bookmarkEnd w:id="2"/>
      <w:r>
        <w:rPr/>
        <w:drawing>
          <wp:inline distT="0" distB="0" distL="0" distR="0">
            <wp:extent cx="7620000" cy="5886450"/>
            <wp:effectExtent l="0" t="0" r="0" b="0"/>
            <wp:docPr id="1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 descr=""/>
                    <pic:cNvPicPr>
                      <a:picLocks noChangeAspect="1" noChangeArrowheads="1"/>
                    </pic:cNvPicPr>
                  </pic:nvPicPr>
                  <pic:blipFill>
                    <a:blip r:embed="rId11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Companies List Date 2026-01-15 Page 1 QuickRef Name Country Company No. Company Type Company Status Incorporated User Grouping File Reference 1 3125 11601 Roosevelt Boulevard Realty, LLC Main Office : 347 Riverside Avenue, Jacksonville FL 32202, United States Registered Address: c/o The Corporation Trust Company, 1209 Orange Street, Wilmington DE 19801, United States United States 5561670 Limited Liability Company Active 2014-06-30 SUBSIDIARY 11000490841 2 4160 Advanced Portfolio Technologies Ltd. Trading At: 3 Bermudiana Road, Hamilton, HM08, Bermuda Registered Office: 3 Bermudiana Road, Hamilton, HM08, Bermuda Bermuda EC18433 Exempted Company Limited by Shares Active 1993-06-22 C19343 3 AFSFIAIDLP AFSF II AIV Investors - D L.P. Main Office : 347 Riverside Avenue, Jacksonville FL 32202, United States Registered Address: c/o The Corporation Trust Company, 1209 Orange Street, Wilmington DE 19801, United States United States 5648726 Limited Partnership Active 2014-10-14 4 3523 AKC Insurance Company LLC Main Office : c/o Aon Insurance Managers (USA) Inc., 201 Merchant Street, Suite 2400, Honolulu HI 96813, United States Registered Address: Paul B Shimomoto , 999 Bishop St Ste 1600, Honolulu HI 96813, United States United States 176954 C5 Limited Liability Company Active 2017-07-19 5 3401 Alphakinetic Limited Trading At: The Company's Registered Office Registered Office: c/o FIS Corporate Governance, The Walbrook Building, 25 Walbrook, London, England, EC4N 8AF, United Kingdom Presenter: The Company's Registered Office United Kingdom 06897969 Limited by Shares Active 2009-05-07 6 AMOUNT Amount, Inc. Main Office : 222 N. LaSalle St., Suite 1700, Chicago IL 60601, United States United States 7127181 Corporation Active 2019-10-07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 descr=""/>
                    <pic:cNvPicPr>
                      <a:picLocks noChangeAspect="1" noChangeArrowheads="1"/>
                    </pic:cNvPicPr>
                  </pic:nvPicPr>
                  <pic:blipFill>
                    <a:blip r:embed="rId1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 QuickRef Name Country Company No. Company Type Company Status Incorporated User Grouping File Reference 7 2188 Armed Forces Financial Network LLC Main Office : 11601 Roosevelt Blvd., TA-94, St Petersburg FL 33716, United States Registered Address: c/o CT Corporation System, 1200 South Pine Island Road, Plantation FL 33324, United States United States L02000007703 Limited Liability Company Active 2002-04-01 11000290640 8 2289 Atelio Ireland Limited Trading At: The Company's Registered Office Registered Office: One Spencer Dock, North Wall Quay, Dublin 1, Dublin, D01 X9R7, Ireland Ireland 763522 Private Company Limited by Shares (LTD) Active 2024-05-08 9 4017 Automated Securities Clearance LLC Main Office : 347 Riverside Avenue, Jacksonville FL 32202, United States Registered Address: c/o The Corporation Trust Company, 1209 Orange Street, Wilmington DE 19801, United States United States 4010251 Limited Liability Company Active 2005-08-12 AUTOMA4 10 BOOSNEWSUB Boost Newco Sub, Inc. Main Office : 347 Riverside Avenue, Jacksonville FL 32202, United States Registered Address: The Corporation Trust Company, 1209 Orange Street, Wilmington DE 19801, United States United States 7546165 Corporation Active 2023-08-29 11 BOOSTNEWCO Boost Newco, LLC Main Office : 347 Riverside Avenue, Jacksonville FL 32202, United States Registered Address: The Corporation Trust Company, 1209 Orange Street, Wilmington DE 19801, United States United States 7545815 Limited Liability Company Active 2023-07-03 12 2262 C&amp;E Holdings Luxembourg S.a.r.l. Trading At: 28, Boulevard F.W. Raiffeisen, Luxembourg, L- 2411, Luxembourg Registered Office: 28, Boulevard F.W. Raiffeisen, Luxembourg, L- 2411, Luxembourg Luxembourg B 148.895 Limited Liability Company Active 2009-10-16 11000324476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1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 QuickRef Name Country Company No. Company Type Company Status Incorporated User Grouping File Reference 13 2173 Chex Systems, Inc. Main Office : 347 Riverside Avenue, Jacksonville FL 32202, United States Registered Address: c/o CT Corporation System, Inc., 1010 Dale Street N., Saint Paul MN 55117, United States United States 2918180-2 Corporation Active 2008-07-03 11000277404 14 3310 Clear2Pay (Shenzhen) Company Limited Trading At: 15M, 15/F, Room 1557, A8 Music Building, No. 1002 Keyuan Road Tech Zone, Nanshan District, Shenzhen, Guangdong, 518000, China Registered Office: 15M, 15/F, Room 1557, A8 Music Building, No. 1002 Keyuan Road Tech Zone, Nanshan District, Shenzhen, Guangdong, 518000, China China 91440300661022 821M Limited Liability Company Active 2007-06-25 INTERNATIONA 11000537748 15 3325 Clear2Pay APAC Pte. Ltd. Trading At: 8 Marina View #31-01, Asia Square Tower 1, 018960, Singapore Registered Office: 8 Marina View #31-01, Asia Square Tower 1, 018960, Singapore Singapore 200207426H Private Limited Company Active 2002-08-27 INTERNATIONA 11000537072 16 3304 Clear2Pay Belgium BV Trading At: De Kleetlaan 6A, 1831 Diegem, Belgium, Belgium Registered Office: De Kleetlaan 6A, 1831 Diegem, Belgium, Belgium Belgium 0430.605.764 Private Limited Company Active 1987-03-20 INTERNATIONA 11000536820 17 3303 Clear2Pay BV Trading At: De Kleetlaan 6A, 1831 Diegem, Belgium, Belgium Registered Office: De Kleetlaan 6A, 1831 Diegem, Belgium, Belgium Belgium 0472.753.848 Private Limited Company Active 2000-09-06 INTERNATIONA 11000518004 18 3315 Clear2Pay France SAS Trading At: 1 Rue Eugène et Armand Peugeot, 92508, Rueil-Malmaison Cedex, France Registered Office: 1 Rue Eugène et Armand Peugeot, 92508, Rueil-Malmaison Cedex, France France 444 434 120 Limited Liability Company Active 2002-12-12 INTERNATIONA 11000537525 19 3313 Clear2Pay Germany GmbH Germany HRB 109791 Limited Liability Company Active 2013-07-09 INTERNATIONA 11000537517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 descr=""/>
                    <pic:cNvPicPr>
                      <a:picLocks noChangeAspect="1" noChangeArrowheads="1"/>
                    </pic:cNvPicPr>
                  </pic:nvPicPr>
                  <pic:blipFill>
                    <a:blip r:embed="rId1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4 QuickRef Name Country Company No. Company Type Company Status Incorporated User Grouping File Reference Trading At: Solmsstrasse 18, 60486, Frankfurt am Main, Germany Registered Office: Solmsstrasse 2-22, 60486, Frankfurt am Main, Germany 20 3322 Clear2Pay Nederland BV Trading At: De Kleetlaan 6A, 1831 Diegem, Belgium, Belgium Registered Office: De Entree 248, 12th Floor, 1101 EE, Amsterdam, Netherlands, Netherlands Netherlands 33299164 Limited Liability Company Active 1998-07-03 INTERNATIONA 11000536692 21 3324 Clear2Pay Poland Sp. z o.o. Trading At: Sienna Street 75, Sienna Center, Building 1, 5th floor, 00-833, Warsaw, Poland Registered Office: ul. Sienna, 75, Budynek 1, pietro 5, 00-833, Warzsawa, Poland Poland KRS number 0000137967 Limited Liability Company Active 1999-11-23 INTERNATIONA 11000537105 22 3314 Clear2Pay Spain s.l. Trading At: Calle Principe de Vergara 132. 9th floor, 28002, Madrid, Spain Registered Office: Calle Principe de Vergara 132. 9th floor, 28002, Madrid, Spain Spain B85492833 Limited Liability Company Active 2008-07-10 INTERNATIONA 11000537652 23 3309 ClearTwoPay Chile SpA Trading At: Alonso de Cordova 2860, Office 504, Vitacura, Santiago, 7630440, Chile Registered Office: Alonso de Cordova 2860, Office 504, Vitacura, Santiago, 7630440, Chile Chile 21991 Limited Liability Company Active 2012-05-09 INTERNATIONA 11000537206 24 5020 Complete Payment Recovery Services, Inc. Main Office : 11601 Roosevelt Bvld., N., St. Petersburg FL 33716, United States Registered Address: c/o C T Corporation System, 289 South Culver Street, Lawrenceville GA 30046-4805, United States United States 46234 Corporation Active 2000-10-18 11000277403 25 5062 CPRS Holdings, Inc. Main Office : 11601 Roosevelt Blvd., N., St. Petersburg FL 33716, United States United States 909021 Corporation Active 1981-02-26 11000277402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 descr=""/>
                    <pic:cNvPicPr>
                      <a:picLocks noChangeAspect="1" noChangeArrowheads="1"/>
                    </pic:cNvPicPr>
                  </pic:nvPicPr>
                  <pic:blipFill>
                    <a:blip r:embed="rId1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5 QuickRef Name Country Company No. Company Type Company Status Incorporated User Grouping File Reference Registered Address: c/o The Corporation Trust Company, 1209 Orange Street, Wilmington DE 19801, United States 26 DEEPPOOEUR Deep Pool (Europe) Limited [In Liquidation - 19-Dec-2025] Trading At: Aigyptou 36 , Larnaca, 6030, Cyprus Registered Office: Arch. Makariou III, 73, Methonis Tower, Floor 3, Office 301, Nicosia, 1070, Cyprus Cyprus HE 394356 Private Company In Liquidation 2019-02-12 27 DEEPPOOINT Deep Pool International Ltd Trading At: 802 West Bay Road, George Town, PO Box 30154, Grand Cayman, KY1-1201, Cayman Islands Registered Office: Waystone Corporate Services (Cayman) Ltd., SIX Cricket Square, PO Box 1344, George Town, Grand Cayman, KY1-1103 , Cayman Islands Cayman Islands 179981 Exempted Company Limited by Shares Active 2007-01-05 28 4243 Demica Finance Limited Trading At: c/o FIS Corporate Governance, The Walbrook Building, 25 Walbrook, London, England, EC4N 8AF, United Kingdom Registered Office: c/o FIS Corporate Governance, The Walbrook Building, 25 Walbrook, London, England, EC4N 8AF, United Kingdom United Kingdom 09760816 Public Limited Company Active 2015-09-03 29 4241 Demica Holdings Limited Trading At: 44 Esplanade, St Helier, JE4 9WG, Jersey Registered Office: 44 Esplanade, St Helier, JE4 9WG, Jersey Jersey 116068 Private Limited Company Active 2014-06-27 30 DEMICA Demica Limited Trading At: c/o FIS Corporate Governance, The Walbrook Building, 25 Walbrook, London, England, EC4N 8AF, United Kingdom Registered Office: c/o FIS Corporate Governance, The Walbrook Building, 25 United Kingdom 02492599 Limited by Shares Active 1990-04-17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 descr=""/>
                    <pic:cNvPicPr>
                      <a:picLocks noChangeAspect="1" noChangeArrowheads="1"/>
                    </pic:cNvPicPr>
                  </pic:nvPicPr>
                  <pic:blipFill>
                    <a:blip r:embed="rId1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6 QuickRef Name Country Company No. Company Type Company Status Incorporated User Grouping File Reference Walbrook, London, England, EC4N 8AF, United Kingdom 31 2293 DFLY TECHNOLOGIES INDIA PRIVATE LIMITED Registered Office: Westend Centre, 2nd Floor, 3, Westend Centre,, Survey no. 169, Hissa No. 1, sector II, , Aundh, Pune, Pune, Maharashtra, 411007, India India U72900PN2022F TC213068 Private Company Active 2022-07-14 INTERNATIONA 32 2292 Dragonfly Financial Technologies Corp. Main Office : 1445 Sadler Road, Suite 1097, Fernandina Beach FL 32034, United States Registered Address: The Corporation Trust Company, 1209 Orange Street, Wilmington DE 19801, United States United States 6741055 Corporation Active 2022-04-19 33 DFT-HOLDCO Dragonfly Financial Technologies Holdco LLC Main Office : 1445 Sadler Road, Suite 1097, Fernandina Beach FL 32034, United States Registered Address: The Corporation Trust Company, 1209 Orange Street, Wilmington DE 19801, United States United States 6772591 Limited Liability Company Active 2022-05-02 34 2175 eFunds Corporation Main Office : 347 Riverside Avenue, Jacksonville FL 32202, United States Registered Address: c/o The Corporation Trust Company, 1209 Orange Street, Wilmington DE 19801, United States United States 2051596 Corporation Active 1984-12-27 11000277421 35 2165 eFunds Holdings Limited Trading At: Tricorn House 1st FL, 51-53 Hagley Road, Edgbaston, B16 8TO, United Kingdom Registered Office: c/o FIS Corporate Governance, The Walbrook Building, 25 Walbrook, London, England, EC4N 8AF, United Kingdom United Kingdom 03261133 Limited by Shares Active 1996-10-09 11000277333 36 2166 eFunds International Limited Trading At: Tricorn House, 51-53 Hagley Road, Edgbaston, United Kingdom 01930117 Limited by Shares Active 1985-07-11 11000277335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 descr=""/>
                    <pic:cNvPicPr>
                      <a:picLocks noChangeAspect="1" noChangeArrowheads="1"/>
                    </pic:cNvPicPr>
                  </pic:nvPicPr>
                  <pic:blipFill>
                    <a:blip r:embed="rId1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7 QuickRef Name Country Company No. Company Type Company Status Incorporated User Grouping File Reference Birmingham, B16 8TU, United Kingdom Registered Office: c/o FIS Corporate Governance, The Walbrook Building, 25 Walbrook, London, England, EC4N 8AF, United Kingdom 37 3025 Everlink Payment Services Inc. Registered Office: 199 Bay Street, Suite 4000, Toronto ON M5L 1A9, Canada Canada 1707908-7 Corporation Active 2025-06-13 38 4194 F.I.S. Systems (Middle East) Limited Trading At: Unit 702, Level 7, Gate Precinct Building 4, Dubai International Financial Centre, Dubai, PO BOX 506648, United Arab Emirates Trading At (2): Level 29, Olaya Towers, Tower B – Unit 5, Intersection of Olaya St. &amp; Mohammed bin Abdul-Aziz St., Riyadh, 11523, Saudi Arabia Registered Office: Unit 702, Level 7, Gate Precinct Building 4, Dubai International Financial Centre, Dubai, PO BOX 506648, United Arab Emirates United Arab Emirates CL0854 Private Limited Company Active 2009-07-09 C23977 39 2245 Fidelity Holding Ltda. Trading At: Avenida Antonio Frederico Ozanan, Ave., 1.440 - Block XII (part), Vila Santana II, Jundiai, 13219-001, Brazil Registered Office: Avenida Maria Coelho Aguiar, 215, Bloco D, 4.º andar, Parte, Jardim São Luís, São Paulo, SP, CEP 05804-900, Brazil Brazil NIRE 35228352371 Limited Liability Company Active 2014-04-29 11000488221 40 2081 Fidelity Information Services (Hong Kong) Limited Trading At: Suite 1301, 13/F Six Pacific Place, 50 Queen's Road East, Wan Chai, Hong Kong Registered Office: Suite 1301, 13/F Six Pacific Place, 50 Queen's Road East, Wan Chai, Hong Kong Hong Kong 08152722 Limited Liability Company Active 1982-09-07 11000277339 41 4071 Fidelity Information Services Spain B79531562 Corporation Active 1990-10-01 SUNGAR65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 descr=""/>
                    <pic:cNvPicPr>
                      <a:picLocks noChangeAspect="1" noChangeArrowheads="1"/>
                    </pic:cNvPicPr>
                  </pic:nvPicPr>
                  <pic:blipFill>
                    <a:blip r:embed="rId1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8 QuickRef Name Country Company No. Company Type Company Status Incorporated User Grouping File Reference (Iberia), S.L.U. Trading At: Calle Principe de Vergara 132. 9th floor, 28002, Madrid, Spain Registered Office: Calle Principe de Vergara 132. 9th floor, 28002, Madrid, Spain 42 4095 Fidelity Information Services (Israel) Ltd. Trading At: 9 Hamanofim Street, Ackerstein Towers, 9th Floor, Herzliya, 4672560, Israel Registered Office: 9 Hamanofim Street, Ackerstein Towers, 9th Floor, Herzliya, 4672560, Israel Israel 51-104106-3 Corporation Active 1984-09-30 SUNGAR5 43 2082 Fidelity Information Services (Thailand) Limited Trading At: 944 Mitrtown Office Tower, 24th Floor, Unit S24056, S24057, S24066, Rama 4 Road, Wangmai, Pathumwan, Bangkok, 10330, Thailand Registered Office: 944 Mitrtown Office Tower, 24th Floor, Unit S24056, S24057, S24066, Rama 4 Road, Wangmai, Pathumwan, Bangkok, 10330, Thailand Thailand 0105535049203 Limited Liability Company Active 1992-03-18 11000277341 44 4203 Fidelity Information Services de Mexico, S. de R.L. de C.V. Trading At: 180 Bosque de Ciruelos, Office PP101, Bosque de las Lomas, Miguel Hidalgo, Mexico City, 11700, Mexico Registered Office: 180 Bosque de Ciruelos, Office PP101, Bosque de las Lomas, Miguel Hidalgo, Mexico City, 11700, Mexico Mexico 487963-1 Limited Liability Partnership Active 2012-12-03 45 4066 Fidelity Information Services Front Arena AB Trading At: Sodermalmsallen 36-6tr, SE-118 28, Stockholm, Sweden Registered Office: Sodermalmsallen 36-6tr, SE-118 28, Stockholm, Sweden Sweden 556300-6567 Corporation Active 1987-08-11 FRONTC1 46 2198 Fidelity Information Services GmbH Germany HRB 153784 Limited Liability Company Active 2004-08-24 11000289970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 descr=""/>
                    <pic:cNvPicPr>
                      <a:picLocks noChangeAspect="1" noChangeArrowheads="1"/>
                    </pic:cNvPicPr>
                  </pic:nvPicPr>
                  <pic:blipFill>
                    <a:blip r:embed="rId1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9 QuickRef Name Country Company No. Company Type Company Status Incorporated User Grouping File Reference Trading At: Barthstrasse 18, 80339, Munchen, Germany Registered Office: Barthstrasse 18, 80339, Munchen, Germany 47 2159 Fidelity Information Services India Private Limited Trading At: 2nd Floor and 3rd Floor, Tower 3, Block Wrap, EPIP, Zone 1, Whitefield Road, Bangalore, Karnataka, India, India Registered Office: S-405 (LGF), Greater Kailash Part II, New Delhi, India, 110048, India India U72200DL2002P TC114964 Private Company Active 2002-04-15 11000277343 48 2113 Fidelity Information Services International Holdings, Inc. Main Office : 347 Riverside Avenue, Jacksonville FL 32202, United States Registered Address: c/o The Corporation Trust Company, 1209 Orange Street, Wilmington DE 19801, United States United States 2474875 Corporation Active 1995-02-15 11000277425 49 2276 Fidelity Information Services Ireland Limited Trading At: 11/12 Warrington Place, DUBLIN 2, Ireland Registered Office: 11/12 Warrington Place, DUBLIN 2, Ireland Ireland 425204 Private Company Limited by Shares (LTD) Active 2006-08-21 50 2114 Fidelity Information Services Limited Trading At: 41 - 42 Clarendon Road, Watford, Hertfordshire, WD17 1TB, United Kingdom Registered Office: c/o FIS Corporate Governance, The Walbrook Building, 25 Walbrook, London, England, EC4N 8AF, United Kingdom United Kingdom 02225203 Limited by Shares Active 1988-02-28 11000277344 51 2228 Fidelity Information Services Operations GmbH Trading At: Frankenstrasse 150B, 90461, Nurnberg, Germany, Germany Registered Office: Solmsstrasse 18, 60486, Frankfurt am Main, Germany Germany HRB 92620 Limited Liability Company Active 2011-12-12 11000417451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 descr=""/>
                    <pic:cNvPicPr>
                      <a:picLocks noChangeAspect="1" noChangeArrowheads="1"/>
                    </pic:cNvPicPr>
                  </pic:nvPicPr>
                  <pic:blipFill>
                    <a:blip r:embed="rId1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10 QuickRef Name Country Company No. Company Type Company Status Incorporated User Grouping File Reference 52 2117 Fidelity Information Services SARL Registered Office: 53 Rue Sainte Anne, 75002, Paris, France, France France 410 215 115 Limited Liability Company Active 1996-12-12 11000277337 53 3135 Fidelity Information Services Slovakia s.r.o. Trading At: Hodžovo námestie 1/A, Bratislava - mestská časť Staré Mesto, 811 06, Slovakia Registered Office: Hodžovo námestie 1/A, Bratislava - mestská časť Staré Mesto, 811 06, Slovakia Slovakia 51 063 999 Limited Liability Company Active 2017-08-31 54 2074 Fidelity Information Services, LLC Main Office : 347 Riverside Avenue, Jacksonville FL 32202, United States Registered Address: CT Corporation System, 320 S. Izard Street , Little Rock AR 72201-2114, United States United States 800196480 Limited Liability Company Active 2011-03-25 11000393679 55 2088 Fidelity International Resource Management, Inc. Main Office : 347 Riverside Avenue, Jacksonville FL 32202, United States Registered Address: c/o The Corporation Trust Company, 1209 Orange Street, Wilmington DE 19801, United States United States 2269902 Corporation Active 1991-07-31 11000277429 56 2134 Fidelity National Information Services (Netherlands) B.V. Trading At: The Company's Registered Office Registered Office: De Entree 248, 12th Floor, 1101 EE, Amsterdam, Netherlands, Netherlands Netherlands 33282642 Limited Liability Company Active 1996-07-22 11000277385 57 1001 Fidelity National Information Services, Inc. Main Office : 347 Riverside Avenue, Jacksonville FL 32202, United States Registered Address: c/o C T Corporation System, 289 South Culver Street, Lawrenceville GA 30046-4805, United States United States 110597 Corporation Active 2001-03-02 11000276462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 descr=""/>
                    <pic:cNvPicPr>
                      <a:picLocks noChangeAspect="1" noChangeArrowheads="1"/>
                    </pic:cNvPicPr>
                  </pic:nvPicPr>
                  <pic:blipFill>
                    <a:blip r:embed="rId1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11 QuickRef Name Country Company No. Company Type Company Status Incorporated User Grouping File Reference 58 2093 Fidelity National Participacoes e Servicos de Informatica Ltda Trading At: Av. Maria Coelho Aguiar, 215, Bloco D, 4º floor, São Paulo , 05805-000, Brazil Trading At (2): Rua Ceará, 225, Barueri, São Paulo , 06465-120, Brazil Registered Office: Avenida Maria Coelho Aguiar, 215, Bloco D, 4.º andar, [sala 1], Jardim São Luís, São Paul, CEP 05804-900 , Brazil Brazil 35.219.938.112 Limited Liability Company Active 1993-09-26 11000277387 59 2094 Fidelity National Servicos de Tratamento de Documentos e Informatica Ltda. Trading At: Avenida Maria Coelho Aguiar, 215, bloco D, 1Âº andar, Room E, SÃ£o Paulo, 05804-900, Brazil Registered Office: Brigadeiro Faria Lima, Ave., 3.900, 4th floor, 402, room 1, Itaim Bibi, São Paulo, 04538-132, Brazil Brazil 35.2.14857076 Limited Liability Company Active 1994-10-31 11000277350 60 5011 Fidelity Participacoes e Servicos Ltda. Trading At: Avenida Antonio Frederico Ozanan, Ave., 1.440 - Block XII (part), Vila Santana II, Jundiai, 13219-001, Brazil Registered Office: Avenida Maria Coelho Aguiar,, 215, Bloco D, 4.º andar, Parte, Jardim São Luís, São Paulo, SP, CEP 05804-900, Brazil Brazil 286.304/94 Limited Liability Company Active 1992-12-01 11000277351 61 FINAINBEAS Financial Institution Benefit Association, Inc. Main Office : 11601 Roosevelt Blvd., St. Petersburg FL 33716, United States Registered Address: c/o CT Corporation System, 1015 15th Street, NW, Suite 1000, Washington DC 20005, United States United States 880480 Not-For-Profit Corporation Active 1988-02-17 11000450724 62 5024 Financial Insurance Marketing Group, Inc. Main Office : 347 Riverside United States 880362 Corporation Active 1988-02-05 11000277448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 descr=""/>
                    <pic:cNvPicPr>
                      <a:picLocks noChangeAspect="1" noChangeArrowheads="1"/>
                    </pic:cNvPicPr>
                  </pic:nvPicPr>
                  <pic:blipFill>
                    <a:blip r:embed="rId1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12 QuickRef Name Country Company No. Company Type Company Status Incorporated User Grouping File Reference Avenue, Jacksonville FL 32202, United States Registered Address: c/o CT Corporation System, 1015 15th Street, NW, Suite 1000, Washington DC 20005, United States 63 4072 FIS (Switzerland) SA Trading At: Route de l'Aeroport 29-31, 1215, Genève 15, Switzerland Registered Office: 29-31 route de l'Aéroport, Cointrin, 1216, Le Grand-Saconnex, Switzerland Switzerland CH 660 0791994 9 Corporation Active 1994-07-20 SUNGAR11 64 4232 FIS (Tunisia) I SARL Trading At: Lot no. 45, Building B, Zl Chotrana, Ariana, 2083, Tunisia Registered Office: Immeuble Nida, Technopole El Ghazala, Route de Raoued km 3,5, El Ghazala, Ariana, Raoued, 2088, Tunisia Tunisia RCS B 155 82 1999 Private Limited Company Active GLTradeMENA 65 4233 FIS (Tunisia) II SARL Trading At: Lot no. 45, Building B, Zl Chotrana, Ariana, 2083, Tunisia Registered Office: Immeuble Nida, Technopole El Ghazala, Route de Raoued km 3,5, El Ghazala, Ariana, Raoued, 2088, Tunisia Tunisia SDCR07218Z Corporation Active 2007-04-18 GLTUNISIA 66 FISACELLC FIS ACE, LLC Main Office : 347 Riverside Avenue, Jacksonville FL 32202, United States Registered Address: The Corporation Trust Company, 1209 Orange Street, Wilmington DE 19801, United States United States 5722751 Limited Liability Company Active 2024-10-25 67 4008 FIS Asia Pacific Inc. Main Office : 347 Riverside Avenue, Jacksonville FL 32202, United States Registered Address: c/o The Corporation Trust Company, 1209 Orange Street, Wilmington DE 19801, United States United States 2539786 Corporation Active 1995-09-15 SUNGAR72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 descr=""/>
                    <pic:cNvPicPr>
                      <a:picLocks noChangeAspect="1" noChangeArrowheads="1"/>
                    </pic:cNvPicPr>
                  </pic:nvPicPr>
                  <pic:blipFill>
                    <a:blip r:embed="rId1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13 QuickRef Name Country Company No. Company Type Company Status Incorporated User Grouping File Reference 68 5098 FIS AsiaPacRim Holdings Ltd. Trading At: 51-53 Tricorn House, Hagley Road, First Floor, Birmingham, England, B16 8TU, United Kingdom Registered Office: c/o FIS Corporate Governance, The Walbrook Building, 25 Walbrook, London, England, EC4N 8AF, United Kingdom Single Alternative Inspection Location: The Walbrook Building, 25 Walbrook, London, EC4N 8AF, United Kingdom United Kingdom 06707320 Limited by Shares Active 2008-09-25 11000290018 69 5038 FIS Australasia Pty Ltd Trading At: Level 12, 55 Clarence Street, Sydney NSW 2000, Australia Registered Office: Level 12, 55 Clarence Street, Sydney NSW 2000, Australia Australia 093 114 759 Proprietary Limited Active 2000-05-31 11000277354 70 5040 FIS Banking Solutions UK Limited Trading At: 1st Floor Tricorn House, 51-53 Hagley Road, Edgbaston, Birmingham, West Midlands, B16 8TU, United Kingdom Registered Office: c/o FIS Corporate Governance, The Walbrook Building, 25 Walbrook, London, England, EC4N 8AF, United Kingdom Single Alternative Inspection Location: The Walbrook Building, 25 Walbrook, London, EC4N 8AF, United Kingdom United Kingdom 03517639 Limited by Shares Active 1998-02-26 11000277321 71 4189 FIS Bilgisayar Hizmetleri Ticaret Limited Sirketi Registered Office: Harbiye Mah. Bostan Sk. No:15, Ic Kapi No:5, Sisli / Istanbul, Turkey Turkey 608806/556388 Private Limited Company Active 2006-12-13 SG Turkey 72 4028 FIS Brokerage &amp; Securities Services LLC Main Office : 347 Riverside Avenue, Jacksonville FL 32202, United States Registered Address: c/o The Corporation Trust Company, United States 3172117 Limited Liability Company Active 2000-02-11 ASSENT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5" descr=""/>
                    <pic:cNvPicPr>
                      <a:picLocks noChangeAspect="1" noChangeArrowheads="1"/>
                    </pic:cNvPicPr>
                  </pic:nvPicPr>
                  <pic:blipFill>
                    <a:blip r:embed="rId1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14 QuickRef Name Country Company No. Company Type Company Status Incorporated User Grouping File Reference 1209 Orange Street, Wilmington DE 19801, United States 73 4124 FIS Capital Markets UK Limited Trading At: The Walbrook Building, 25 Walbrook, London, EC4N 8AF, United Kingdom Registered Office: c/o FIS Corporate Governance, The Walbrook Building, 25 Walbrook, London, England, EC4N 8AF, United Kingdom United Kingdom 00982833 Limited by Shares Active 1970-06-23 SUNGAR121 74 4001 FIS Capital Markets US LLC Main Office : 347 Riverside Avenue, Jacksonville FL 32202, United States Registered Address: c/o The Corporation Trust Company, 1209 Orange Street, Wilmington DE 19801, United States United States 0940229 Limited Liability Company Active 1982-06-29 SUNGAR 75 FISCARES FIS Cares, Inc. Main Office : 347 Riverside Avenue, Jacksonville FL 32202, United States Registered Address: The Corporation Trust Company, 1209 Orange Street, Wilmington DE 19801, United States United States 7923879 Not-For-Profit Corporation Active 2020-04-03 76 4162 FIS Consulting Services (Ireland) Limited Registered Office: One Spencer Dock, North Wall Quay, Dublin 1, Dublin, D01 X9R7, Ireland Ireland 328660 Limited by Shares Active 2000-06-12 C21131 77 2263 FIS Denmark ApS Registered Office: c/o Eskil Nielsen, Overgaden Neden Vandet 9C, 1., 1414, København K, Denmark Denmark 41916192 Anpartsselskab (ApS) Active 2020-12-07 78 4206 FIS Derivatives Utility Services (Singapore) Pte. Ltd. Trading At: 8 Marina View #31-01, Asia Square Tower 1, 018960, Singapore Registered Office: 8 Marina View #31-01, Asia Square Tower 1, 018960, Singapore Singapore 201501683Z Private Limited Company Active 2015-01-16 79 4205 FIS Derivatives Utility Services (UK) Limited Trading At: The Walbrook United Kingdom 9398140 Limited by Shares Active 2015-01-20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6" descr=""/>
                    <pic:cNvPicPr>
                      <a:picLocks noChangeAspect="1" noChangeArrowheads="1"/>
                    </pic:cNvPicPr>
                  </pic:nvPicPr>
                  <pic:blipFill>
                    <a:blip r:embed="rId1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15 QuickRef Name Country Company No. Company Type Company Status Incorporated User Grouping File Reference Building, 25 Walbrook, London, EC4N 8AF, United Kingdom Registered Office: c/o FIS Corporate Governance, The Walbrook Building, 25 Walbrook, London, England, EC4N 8AF, United Kingdom 80 4056 FIS DERIVATIVES UTILITY SERVICES LLC Main Office : 347 Riverside Avenue, Jacksonville FL 32202, United States Registered Address: c/o The Corporation Trust Company, 1209 Orange Street, Wilmington DE 19801, United States United States 5676223 Limited Liability Company Active 2015-01-16 81 4112 FIS Energy Solutions Limited Trading At: The Walbrook Building, 25 Walbrook, London, EC4N 8AF, United Kingdom Registered Office: c/o FIS Corporate Governance, The Walbrook Building, 25 Walbrook, London, England, EC4N 8AF, United Kingdom United Kingdom 01889028 Limited by Shares Active 1985-02-22 SUNGAR116 82 4236 FIS European MTF Ireland Limited Registered Office: One Spencer Dock, North Wall Quay, Dublin 1, Dublin, D01 X9R7, Ireland Ireland 654881 Limited by Shares Active 2019-08-09 COMPANY 83 2295 FIS Finance Germany GmbH Trading At: Solmsstrasse 18, 60486, Frankfurt am Main, Germany Registered Office: Solmsstrasse 18, 60486, Frankfurt am Main, Germany Germany HRB 136054 Limited Liability Company Active 2024-09-11 84 2294 FIS Finance Germany Holdings GmbH Trading At: Solmsstrasse 18, 60486, Frankfurt am Main, Germany Registered Office: Solmsstrasse 18, 60486, Frankfurt am Main, Germany Germany HRB 136038 Limited Liability Company Active 2024-09-10 85 2290 FIS Finance UK Holdings Limited Trading At: The Walbrook Building, 25 Walbrook, London, United Kingdom 16035821 Limited by Shares Active 2024-10-23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7" descr=""/>
                    <pic:cNvPicPr>
                      <a:picLocks noChangeAspect="1" noChangeArrowheads="1"/>
                    </pic:cNvPicPr>
                  </pic:nvPicPr>
                  <pic:blipFill>
                    <a:blip r:embed="rId1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16 QuickRef Name Country Company No. Company Type Company Status Incorporated User Grouping File Reference EC4N 8AF, United Kingdom Registered Office: c/o FIS Corporate Governance, The Walbrook Building, 25 Walbrook, London, England, EC4N 8AF, United Kingdom 86 2296 FIS Finance UK Limited Trading At: The Walbrook Building, 25 Walbrook, London, EC4N 8AF, United Kingdom Registered Office: c/o FIS Corporate Governance, The Walbrook Building, 25 Walbrook, London, England, EC4N 8AF, United Kingdom United Kingdom 16142991 Limited by Guarantee Active 2024-12-18 87 2133 FIS Financial Solutions Canada Inc. Main Office : The Company's Registered Office Registered Office: Scotia Plaza, 40 King Street West, Suite 6600, P.O. Box 1011, Toronto ON Canada M5H 3S1 , Canada Canada 5043743 Corporation Active 2021-01-01 88 4165 FIS Financial Systems (France) SAS Trading At: 46 rue Notre Dame des Victoires, 75002, Paris, France Registered Office: 46 rue Notre Dame des Victoires, 75002, Paris, France France 347 600 645 Corporation Active 1988-08-25 C21807 89 FISFOUNDAT FIS Foundation, Inc. Main Office : 347 Riverside Avenue, Jacksonville FL 32202, United States Registered Address: c/o CT Corporation System, 8020 Excelsior Drive, Suite 200, Madison WI 53717, United States United States MO71472 Not-For-Profit Corporation Active 2007-12-21 11000436739 90 2316 FIS GCS LLC Main Office : 347 Riverside Avenue, Jacksonville FL 32202, United States Registered Address: c/o The Corporation Trust Company, 1209 Orange Street, Wilmington DE 19801, United States United States 6378719 Limited Liability Company Active 2017-04-13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8" descr=""/>
                    <pic:cNvPicPr>
                      <a:picLocks noChangeAspect="1" noChangeArrowheads="1"/>
                    </pic:cNvPicPr>
                  </pic:nvPicPr>
                  <pic:blipFill>
                    <a:blip r:embed="rId1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17 QuickRef Name Country Company No. Company Type Company Status Incorporated User Grouping File Reference 91 2167 FIS Global Business Solutions India Private Limited Trading At: 402, I Park, Plot No. 15, Udyog Vihar Phase IV, Gurgaon, Haryana, India, 122016, India Trading At (2): 3rd and 7th Floor, Plot No. 32A and 32B, Ambit IT Park, Ambattur Industrial Estate, AMBIT IT Park Road, Ambattur, Chennai, Tamil Nadu, 600058, India Registered Office: S-405 (LGF), Greater Kailash Part II, New Delhi, India, 110048, India India U72900DL1997P TC088532 Limited by Shares Active 1997-07-14 11000277334 92 4061 FIS Global Execution Services Limited Trading At: The Walbrook Building, 25 Walbrook, London, EC4N 8AF, United Kingdom Registered Office: c/o FIS Corporate Governance, The Walbrook Building, 25 Walbrook, London, England, EC4N 8AF, United Kingdom United Kingdom 03127109 Limited by Shares Active 1995-11-16 SUNGAR62 93 FISGLIUK FIS Global I UK Limited Registered Office: c/o FIS Corporate Governance, The Walbrook Building, 25 Walbrook, London, England, EC4N 8AF, United Kingdom United Kingdom 16919367 Private Limited Company Active 2025-12-18 94 FISGLIIUK FIS Global II UK Limited Registered Office: c/o FIS Corporate Governance, The Walbrook Building, 25 Walbrook, London, England, EC4N 8AF, United Kingdom United Kingdom 16919405 Private Limited Company Active 2025-12-18 95 2203 FIS Global Solutions Philippines Inc. Trading At: 9th Floor, Ecoplaza Building, 2305 Chino Roces (Pasong Tamo Avenue Extension), Makati City, 1231, Philippines Registered Office: 9th Floor, Ecoplaza Building, 2305 Chino Roces (Pasong Tamo Avenue Extension), Makati City, 1231, Philippines CS200916758 Corporation Active 2009-10-30 11000330276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9" descr=""/>
                    <pic:cNvPicPr>
                      <a:picLocks noChangeAspect="1" noChangeArrowheads="1"/>
                    </pic:cNvPicPr>
                  </pic:nvPicPr>
                  <pic:blipFill>
                    <a:blip r:embed="rId1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18 QuickRef Name Country Company No. Company Type Company Status Incorporated User Grouping File Reference Philippines 96 4167 FIS Global Trading (Deutschland) GmbH Trading At: Solmsstrasse 18, 60486, Frankfurt, Germany Registered Office: Solmsstrasse 18, 60486, Frankfurt, Germany Germany HRB 85990 Private Limited Company Active 1998-01-26 C21823 97 4168 FIS Global Trading (Hong Kong) Limited Trading At: Suite 1301, 13/F Six Pacific Place, 50 Queen's Road East, Wan Chai, Hong Kong Registered Office: Suite 1301, 13/F Six Pacific Place, 50 Queen's Road East, Wan Chai, Hong Kong Hong Kong 19162415 Private Limited Company Active 1994-07-14 GLHongKong 98 4179 FIS Global Trading (Ibérica), S.L. Unipersonal Trading At: Calle Principe de Vergara 132. 9th floor, 28002, Madrid, Spain Registered Office: Calle Principe de Vergara 132. 9th floor, 28002, Madrid, Spain Spain B82808148 Private Limited Company Active 2000-10-26 GLIberica 99 4173 FIS Global Trading (Nederland) BV Trading At: De Entree 248, 12th Floor, 1101 EE, Amsterdam, Netherlands, Netherlands Registered Office: De Entree 248, 12th Floor, 1101 EE, Amsterdam, Netherlands, Netherlands Netherlands 34137378 Private Limited Company Active 2000-07-10 C21812 100 4174 FIS Global Trading (Portugal), Unipessoal Lda Registered Office: Rua Mouzinho da Silveira, 32, 1250-167, Lisboa, Portugal Portugal 506880559 Private Limited Company Active 2004-05-24 C21809 101 4176 FIS Global Trading (Singapore) Pte. Ltd. Trading At: 8 Marina View #31-01, Asia Square Tower 1, 018960, Singapore Registered Office: 8 Marina View, #31-01, Asia Square Tower 1, 018960, Singapore Singapore 199904587M Private Limited Company Active 1999-08-05 C21810 102 4180 FIS Global Trading (Suisse) SA Trading At: Route de l'Aeroport Switzerland CH-020-3023939- 9 Corporation Active 2000-11-29 GLSuisse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0" descr=""/>
                    <pic:cNvPicPr>
                      <a:picLocks noChangeAspect="1" noChangeArrowheads="1"/>
                    </pic:cNvPicPr>
                  </pic:nvPicPr>
                  <pic:blipFill>
                    <a:blip r:embed="rId1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19 QuickRef Name Country Company No. Company Type Company Status Incorporated User Grouping File Reference 29-31, 1215, Genève 15, Switzerland Trading At (2): Elias Canetti-Strasse 2, 8050, Zurich, Switzerland Registered Office: 29-31 route de l'Aéroport, Cointrin, 1216, Le Grand-Saconnex, Switzerland 103 FISHEATRU FIS Healthcare Trustee Limited Trading At: c/o FIS Corporate Governance, The Walbrook Building, 25 Walbrook, London, England, EC4N 8AF, United Kingdom Registered Office: c/o FIS Corporate Governance, The Walbrook Building, 25 Walbrook, London, England, EC4N 8AF, United Kingdom United Kingdom 10397112 Limited by Shares Active 2016-09-27 104 5096 FIS Holdings Mauritius Registered Office: DTOS Ltd., 10th Floor, Standard Chartered Tower, 19 Cybercity, Ebene, Mauritius Mauritius 85238 Private Company Limited by Shares (LTD) Active 2008-11-27 11000285030 105 4218 FIS International Subsidiaries Holdings LLC Main Office : 347 Riverside Avenue, Jacksonville FL 32202, United States Registered Address: c/o The Corporation Trust Company, 1209 Orange Street, Wilmington DE 19801, United States United States 6090831 Limited Liability Company Active 2016-07-08 106 4220 FIS INVESTMENT VENTURES LLC Main Office : 347 Riverside Avenue, Jacksonville FL 32202, United States Registered Address: c/o The Corporation Trust Company, 1209 Orange Street, Wilmington DE 19801, United States United States 4011107 Limited Liability Company Active 2005-08-05 SUNGAR150 107 2119 FIS Investor Services Germany GmbH Trading At: Solmsstrasse 18, 60486, Frankfurt am Main, Germany Registered Office: Solmsstrasse Germany HRB 130938 Limited Liability Company Active 1996-12-20 11000277338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1" descr=""/>
                    <pic:cNvPicPr>
                      <a:picLocks noChangeAspect="1" noChangeArrowheads="1"/>
                    </pic:cNvPicPr>
                  </pic:nvPicPr>
                  <pic:blipFill>
                    <a:blip r:embed="rId1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20 QuickRef Name Country Company No. Company Type Company Status Incorporated User Grouping File Reference 18, 60486, Frankfurt am Main, Germany 108 2168 FIS Investor Services India Private Limited Trading At: OB3, Ground Floor, Plot No. 18-23,, Nanakramguda, Financial Dist.,, Hyderabad, Telangana, 500019, India Trading At (2): Westend Centre, 2nd Floor, 3, Westend Centre,, Survey no. 169, Hissa No. 1, sector II, , Aundh, Pune, Pune, Maharashtra, 411007, India Registered Office: S-405 (LGF), Greater Kailash Part II, New Delhi, India, 110048, India India U74999DL2004P TC124104 Limited by Shares Active 2004-01-15 11000277358 109 4055 FIS Investor Services LLC Main Office : 347 Riverside Avenue, Jacksonville FL 32202, United States Registered Address: c/o The Corporation Trust Company, 1209 Orange Street, Wilmington DE 19801, United States United States 5663067 Limited Liability Company Active 2014-12-23 110 3420 FIS Investor Services Poland Sp. z o.o. Trading At: Nowy Rynek Complex, Bldg B, 4th FL,, Przemyslowa 3 Street, 61-579, Poznan, Poland Registered Office: ul. Sienna 75,, 00-833, Warszawa, Poland Poland 0000906959 Limited Liability Company Active 2021-03-30 111 FISIRHOLL FIS Ireland Holdings LLC Main Office : 347 Riverside Avenue, Jacksonville FL 32202, United States Registered Address: c/o The Corporation Trust Company, 1209 Orange Street, Wilmington DE 19801, United States United States 10449218 Limited Liability Company Active 2025-12-23 112 4171 FIS Japan KK Trading At: 12F, JA Building, 1-3-1 Otemachi, Chiyoda-Ku, Tokyo 100-6812, 100-6812, Japan Registered Office: 12F, JA Building, 1-3-1 Otemachi, Chiyoda-Ku, Tokyo 100-6812, 100-6812, Japan Japan 0100-01-092436 Corporation Active 2001-01-19 GLTradeJapan 113 4108 FIS Korea Ltd Korea, Republic of Reg. No. 218943 Private Company Active 2001-03-09 SUNGAR76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2" descr=""/>
                    <pic:cNvPicPr>
                      <a:picLocks noChangeAspect="1" noChangeArrowheads="1"/>
                    </pic:cNvPicPr>
                  </pic:nvPicPr>
                  <pic:blipFill>
                    <a:blip r:embed="rId1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21 QuickRef Name Country Company No. Company Type Company Status Incorporated User Grouping File Reference Trading At: 18Fl, O2 Tower, 83 Uisadang-daero, Yeongdeungpo-gu, Seoul, 07325, Korea, Republic of Registered Office: 18Fl, O2 Tower, 83 Uisadang-daero, Yeongdeungpo-gu, Seoul, 07325, Korea, Republic of 114 2218 FIS Management Services Mexico, S. de R.L. de C.V. Trading At: 404 Avenida Paseo de la Reforma, Piso 6 - Despacho 602, Colonia Juarez, Delegacion Cuauhtemoc, Codigo , Mexico City, 06600, Mexico Registered Office: 404 Avenida Paseo de la Reforma, Piso 6 - Despacho 602, Colonia Juarez, Delegacion Cuauhtemoc, Codigo , Mexico City, 06600, Mexico Mexico FMS1007021A1 Limited Liability Partnership Active 2010-07-02 INTERNATIONA 11000370280 115 2077 FIS Management Services, LLC Main Office : 347 Riverside Avenue, Jacksonville FL 32202, United States Registered Address: The Corporation Trust Company, 1209 Orange Street, Wilmington DE 19801, United States United States 3820612 Limited Liability Company Active 2004-06-24 11000277454 116 2266 FIS Norway AS Trading At: Haakon VIIs gate 6, Oslo, 0161, Norway Registered Office: Haakon VIIs gate 6, Oslo, 0161, Norway Norway 926 403 699 Private Company Active 2021-01-04 117 2130 FIS Pakistan (Private) Limited Registered Office: C/o. A-35, Cavish Court, Block 7 &amp; 8, KCHSU, Shahrah-e-Faisal, Karachi, Pakistan Pakistan 53696 Private Limited Company Active 2006-01-25 11000277345 118 2169 FIS Payment Solutions &amp; Services India Private Limited Trading At: 301 to 306, 3rd Floor, Fairmont, Hiranandani Business Park, Powai, Maharashtra, Mumbai, 400076, India Registered Office: S-405 (LGF), Greater Kailash Part II, New India U72200DL2005P TC134488 Private Company Active 2005-03-29 11000277332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3" descr=""/>
                    <pic:cNvPicPr>
                      <a:picLocks noChangeAspect="1" noChangeArrowheads="1"/>
                    </pic:cNvPicPr>
                  </pic:nvPicPr>
                  <pic:blipFill>
                    <a:blip r:embed="rId1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22 QuickRef Name Country Company No. Company Type Company Status Incorporated User Grouping File Reference Delhi, India, 110048, India 119 5039 FIS Payments (UK) Limited Trading At: 1st Floor Tricorn House, 51-53 Hagley Road, Edgbaston, Birmingham, West Midlands, B16 8TU, United Kingdom Registered Office: c/o FIS Corporate Governance, The Walbrook Building, 25 Walbrook, London, England, EC4N 8AF, United Kingdom United Kingdom 04215488 Limited by Shares Active 2001-05-11 11000277325 120 3002 FIS Payments LLC Main Office : 4900 West Brown Deer Road, Brown Deer WI 53223, United States Registered Address: c/o CT Corporation System, 8020 Excelsior Drive, Suite 200, Madison WI 53717, United States United States 1M16263 Limited Liability Company Active 1971-11-18 METAVANTECO R 11000333367 121 FISPENSION FIS Pensions Limited Trading At: c/o FIS Corporate Governance, The Walbrook Building, 25 Walbrook, London, England, EC4N 8AF, United Kingdom Registered Office: c/o FIS Corporate Governance, The Walbrook Building, 25 Walbrook, London, England, EC4N 8AF, United Kingdom United Kingdom 2775892 Limited by Shares Active 1992-12-22 SUNGAR97 122 2250 FIS Romania SRL Registered Office: 1st District, Calea Griviței 82-98, "Podium" Building, 1st Floor, Room no. E1.14. , Bucharest, Romania Romania J40/4656/2015 Limited Liability Company Active 2015-04-16 INTERNATIONA 11000528437 123 4073 FIS SG (Italia) S.r.l. Trading At: Via Amedei 15, 20123, Milan, Italy Registered Office: Via Amedei 15, 20123, Milan, Italy Italy 10433690152 Corporation Active 1991-07-30 SUNGAR49 124 4132 FIS SG Systems Philippines Inc. Trading At: 42nd Floor, AIA Tower, 8767 Paseo De Roxas St. Bel-Air, Makati City, Metro Manila, 1209, Philippines Registered Office: 42nd Floor, AIA Philippines CS200411079 Corporation Active 2004-07-22 SUNGAR139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4" descr=""/>
                    <pic:cNvPicPr>
                      <a:picLocks noChangeAspect="1" noChangeArrowheads="1"/>
                    </pic:cNvPicPr>
                  </pic:nvPicPr>
                  <pic:blipFill>
                    <a:blip r:embed="rId1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23 QuickRef Name Country Company No. Company Type Company Status Incorporated User Grouping File Reference Tower, 8767 Paseo De Roxas St. Bel-Air, Makati City, Metro Manila, 1209, Philippines 125 4226 FIS Solutions (India) Private Limited Trading At: Upper Ground Floor to 7th Floor, Westend Center One, Survey No. 169/1, Sector II, Aundh, Pune, 411 007, India Registered Office: S-405 (LGF), Greater Kailash Part II, New Delhi, India, 110048, India India U72200DL1993P TC330116 Limited by Shares Active 1993-07-05 SUNGAR135 126 4229 FIS Solutions Software (India) Private Limited Trading At: Wing 4, Cluster D, Plot No. 1,, S. No. 77, EON, Kharadi MIDC Knowledge Park, Pune, 411 014, India Registered Office: S-405 (LGF), Greater Kailash Part II, New Delhi, India, 110048, India India U72200DL2007P TC331316 Limited by Shares Active 2007-07-06 C21742 127 2211 FIS Solutions, LLC Main Office : 347 Riverside Avenue, Jacksonville FL 32202, United States Registered Address: The Corporation Trust Company, 1209 Orange Street, Wilmington DE 19801, United States United States 4884179 Limited Liability Company Active 2010-10-13 11000380859 128 4129 FIS Systeme GmbH Trading At: Solmsstrasse 18, 60486, Frankfurt am Main, Germany Registered Office: Solmsstrasse 2-22, 60486, Frankfurt am Main, Germany Germany HRB 56839 Limited Liability Company Active 2001-10-11 SUNGAR129 129 4075 FIS Systems (Hong Kong) Limited Trading At: Suite 1301, 13/F Six Pacific Place, 50 Queen's Road East, Wan Chai, Hong Kong Registered Office: Suite 1301, 13/F Six Pacific Place, 50 Queen's Road East, Wan Chai, Hong Kong Hong Kong 15297721 Private Limited Company Active 1992-02-07 SUNGAR52 130 4082 FIS Systems (Luxembourg) S.A. Registered Office: 28, Boulevard F.W. Raiffeisen, Luxembourg, L- 2411, Luxembourg Luxembourg B 73778 Corporation Active 1999-12-31 SUNGAR12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5" descr=""/>
                    <pic:cNvPicPr>
                      <a:picLocks noChangeAspect="1" noChangeArrowheads="1"/>
                    </pic:cNvPicPr>
                  </pic:nvPicPr>
                  <pic:blipFill>
                    <a:blip r:embed="rId1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24 QuickRef Name Country Company No. Company Type Company Status Incorporated User Grouping File Reference 131 4059 FIS Systems (Malaysia) Sdn. Bhd. Trading At: Suite 10.03, Level 10, Menara IGB, Mid Valley City, Lingkaran Syed Putra, 59200 Kuala Lumpur, Malaysia, Malaysia Registered Office: 12th Floor, Menara Symphony, No. 5, Jalan Prof. Khoo Kay Kim, Seksyen 13, 46200 Petaling Jaya, Selangor, Malaysia Malaysia 199501002477 Private Limited Company Active 1995-01-21 SUNGAR22 132 4080 FIS Systems (Singapore) Pte. Ltd. Trading At: 8 Marina View #31-01, Asia Square Tower 1, 018960, Singapore Registered Office: 8 Marina View #31-01, Asia Square Tower 1, 018960, Singapore Singapore 199505654W Private Limited Company Active 1995-08-08 SUNGAR56 133 4215 FIS Systems de Colombia S.A.S. Trading At: The Company's Registered Office Registered Office: Carrera 11, No. 79-35 Piso 9, Bogota, 110221, Colombia Colombia 023610189 Corporation Active 2015-08-25 134 4208 FIS Systems Kenya Limited Trading At: Eaton Place, 2nd Floor, United Nations Crescent Road, P.O. Box 63946, Gigiri, Nairobi, 00619, Kenya Registered Office: Eaton Place, 2nd Floor, United Nations Crescent Road, P.O. Box 63946, Gigiri, Nairobi, 00619, Kenya Kenya CPR/2015/17500 4 Limited Liability Company Active 2015-01-29 135 4106 FIS Systems NZ Limited Trading At: 130 Wrights Road, Addington Park, Christchurch, 8024, New Zealand Registered Office: 130 Wrights Road, Addington Park, Christchurch, 8024, New Zealand New Zealand 1003509 (NZBN: 9429037423681) Limited Liability Company Active 1999-12-03 SUNGAR59 136 4074 FIS Systems Pty Ltd Trading At: Level 12, 55 Clarence Street, Sydney NSW 2000, Australia Registered Office: Level 12, 55 Clarence Street, Sydney NSW Australia 003 699 518 Proprietary Limited Active 1989-02-01 SUNGAR53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6" descr=""/>
                    <pic:cNvPicPr>
                      <a:picLocks noChangeAspect="1" noChangeArrowheads="1"/>
                    </pic:cNvPicPr>
                  </pic:nvPicPr>
                  <pic:blipFill>
                    <a:blip r:embed="rId1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25 QuickRef Name Country Company No. Company Type Company Status Incorporated User Grouping File Reference 2000, Australia 137 4086 FIS Systems South Africa (Pty) Ltd. Trading At: 5th Floor West, Atrium on 5th Office Tower, Corner 5th and Maude Street, Sandton City, Gauteng, Sandton, 2146, South Africa Registered Office: 5th Floor West, Atrium on 5th Office Tower, Corner 5th and Maude Street, Sandton City, Gauteng, Sandton, 2146, South Africa South Africa 1997/005151/07 Private Limited Company Active 1997-04-09 FDPSOF 138 2252 FIS Technology (Beijing) Co. Ltd. Trading At: Unit 581, 5/F, Block A, Landgent Center, No. 20 East Middle 3rd Ring Road, Chaoyang District, Beijing, 100020, China Registered Office: Unit 581, 5/F, Block A, Landgent Center, No. 20 East Middle 3rd Ring Road, Chaoyang District, Beijing, 100020, China China 91110105329581 04XR Limited Liability Company Active 2015-03-06 INTERNATIONA 11000525013 139 2128 FIS Technology Services (Poland) Sp. z o.o. Trading At: ul. Sienna 73, Sienna Center, Building 3, 2nd floor, 00-833, Warsaw, Poland, Poland Registered Office: ul. Sienna 75,, 00-833, Warszawa, Poland Poland KRS: 0000038602 Limited Liability Company Active 1998-01-15 11000277346 140 4235 FIS Technology Services (Tunisia) sarl Trading At: Lot no. 45, Building B, Zl Chotrana, Ariana, 2083, Tunisia Registered Office: Immeuble Nida, Technopole El Ghazala, Route de Raoued km 3,5, El Ghazala, Ariana, Raoued, 2088, Tunisia Tunisia B0314472014 Limited Liability Company Active 2013-12-19 141 2101 FIS Technology Services Singapore Pte. Ltd. Trading At: 8 Marina View #31-01, Asia Square Tower 1, 018960, Singapore Registered Office: 8 Marina View Singapore 201223767K Private Limited Company Active 2012-09-27 11000434200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7" descr=""/>
                    <pic:cNvPicPr>
                      <a:picLocks noChangeAspect="1" noChangeArrowheads="1"/>
                    </pic:cNvPicPr>
                  </pic:nvPicPr>
                  <pic:blipFill>
                    <a:blip r:embed="rId1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26 QuickRef Name Country Company No. Company Type Company Status Incorporated User Grouping File Reference #31-01, Asia Square Tower 1, 018960, Singapore 142 2267 FIS Treasury Centre Limited Trading At: The Walbrook Building, 25 Walbrook, London, EC4N 8AF, United Kingdom Registered Office: c/o FIS Corporate Governance, The Walbrook Building, 25 Walbrook, London, England, EC4N 8AF, United Kingdom Presenter: c/o FIS Corporate Governance, The Walbrook Building, 25 Walbrook, London, England, EC4N 8AF, United Kingdom United Kingdom 13543636 Limited by Shares Active 2021-08-02 143 4136 FIS UK Holdings Limited Trading At: The Walbrook Building, 25 Walbrook, London, EC4N 8AF, United Kingdom Registered Office: c/o FIS Corporate Governance, The Walbrook Building, 25 Walbrook, London, England, EC4N 8AF, United Kingdom United Kingdom 5483711 Limited by Shares Active 2005-06-17 SUNGAR149 144 2237 FIS Vietnam LLC Trading At: 5th Floor, Leadvisors Place Building, 41A Ly Thai To, Hoan Kiem Ward, Hanoi, 100000, Vietnam Registered Office: 5th Floor, Leadvisors Place Building, 41A Ly Thai To, Hoan Kiem Ward, Hanoi, 100000, Vietnam Vietnam 0106159689 Limited Liability Company Active 2013-03-15 INTERNATIONA 11000448602 145 4903 FIS-SG Holding Corp. Main Office : 347 Riverside Avenue, Jacksonville FL 32202, United States Registered Address: c/o The Corporation Trust Company, 1209 Orange Street, Wilmington DE 19801, United States United States 3985412 Corporation Active 2005-06-16 SUNGAR155 146 2201 FNIS Istanbul Danismanlik Limited Sirketi Trading At: Esentepe Mah. Büyükdere Cad., Tekfen Tower No:209, Kat:8, Levent Şişli, Istanbul, 34394, Turkey Turkey 705700 Limited Liability Company Active 2009-07-27 INTERNATIONA 11000314914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8" descr=""/>
                    <pic:cNvPicPr>
                      <a:picLocks noChangeAspect="1" noChangeArrowheads="1"/>
                    </pic:cNvPicPr>
                  </pic:nvPicPr>
                  <pic:blipFill>
                    <a:blip r:embed="rId1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27 QuickRef Name Country Company No. Company Type Company Status Incorporated User Grouping File Reference Registered Office: Fulya Mah, Sehit Niyazi Sok, Ugur Apt. #15/8, Mecidiyekoy, Sisli, Turkey 147 FVMESULP FV General Partner, LLC Main Office : 347 Riverside Avenue, Jacksonville FL 32202, United States Registered Address: c/o The Corporation Trust Company, 1209 Orange Street, Wilmington DE 19801, United States United States 7583835 Limited Liability Company Active 2019-08-29 148 4178 GL Trade (South Africa) Proprietary Limited Trading At: 5th Floor West, Atrium on 5th Office Tower, Corner 5th and Maude Street, Sandton City, Gauteng, Sandton, 2146, South Africa Registered Office: 5th Floor West, Atrium on 5th Office Tower, Corner 5th and Maude Street, Sandton City, Gauteng, Sandton, 2146, South Africa South Africa 2000/021185/07 Private Limited Company Active 2000-08-23 C21808 149 4175 GL Trade Software DOO Trading At: 136B Milutina Milankovica, 2nd floor, Belgrade, 11070, Serbia Registered Office: Milutina Milankovića 136B, Beograd, 11070, Serbia Serbia 20331143 Limited Liability Company Active 2007-09-13 C21821 150 4181 GL Trade Solutions CMS (Thailand) Limited Trading At: 15th Floor, Units 1501-1502, Empire Tower, No. 1 South Sathorn Road, Kwaeng Yannawa, Khet Sathorn, Bangkok, 10120, Thailand Registered Office: 15th Floor, Units 1501-1502, Empire Tower, No. 1 South Sathorn Road, Kwaeng Yannawa, Khet Sathorn, Bangkok, 10120, Thailand Thailand 105549070501 Private Limited Company In Liquidation 2006-06-08 FNXThai2 151 4170 Glesia S.r.l. Trading At: Via Amedei 15, 20123, Milan, Italy Registered Office: Via Amedei 15, Italy 13449020158 Limited Liability Company Active 2001-05-11 GLESIA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9" descr=""/>
                    <pic:cNvPicPr>
                      <a:picLocks noChangeAspect="1" noChangeArrowheads="1"/>
                    </pic:cNvPicPr>
                  </pic:nvPicPr>
                  <pic:blipFill>
                    <a:blip r:embed="rId1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28 QuickRef Name Country Company No. Company Type Company Status Incorporated User Grouping File Reference 20123, Milan, Italy 152 2176 i DLX International BV Trading At: The Company's Registered Office Registered Office: De Entree 248, 12th Floor, 1101 EE, Amsterdam, Netherlands, Netherlands Netherlands 33293961 Limited Liability Company Active 1997-07-02 11000277361 153 2221 Information Services Luxembourg S.a.r.l Registered Office: 28, Boulevard F.W. Raiffeisen, Luxembourg, L- 2411, Luxembourg Luxembourg B 145.294 Limited Liability Company Active 2009-03-03 11000300877 154 4035 Integrity Treasury Solutions Inc. Main Office : 347 Riverside Avenue, Jacksonville FL 32202, United States Registered Address: c/o The Corporation Trust Company, 1209 Orange Street, Wilmington DE 19801, United States United States 2562913 Corporation Active 1995-11-17 INTEGR3 155 KINNBUSOLL Kinnek Business Solutions LLC Registered Address: c/o National Registered Agents, Inc., 160 Greentree Dr, Ste 101, Dover DE 19904-7620 United States 7598727 Limited Liability Company Dormant 2019-09-04 SUBSIDIARY 156 3035 Metavante Technologies Limited Trading At: The Company's Registered Office Registered Office: c/o FIS Corporate Governance, The Walbrook Building, 25 Walbrook, London, England, EC4N 8AF, United Kingdom United Kingdom 02659326 Limited by Shares Active 1991-10-31 11000333401 157 3024 NYCE Payments Network, LLC Main Office : 347 Riverside Avenue, Jacksonville FL 32202, United States Registered Address: c/o The Corporation Trust Company, 1209 Orange Street, Wilmington DE 19801, United States United States 2376559 Limited Liability Company Active 1994-02-07 SUBSIDIARY 11000333405 158 4100 Oshap Software Industries Ltd. Trading At: 9 Hamanofim Street, Ackerstein Towers, 9th Floor, Herzliya, 4672560, Israel Registered Office: 9 Hamanofim Street, Ackerstein Towers, 9th Israel 51-109765-1 Corporation Active 1985-12-29 OSHAPS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0" descr=""/>
                    <pic:cNvPicPr>
                      <a:picLocks noChangeAspect="1" noChangeArrowheads="1"/>
                    </pic:cNvPicPr>
                  </pic:nvPicPr>
                  <pic:blipFill>
                    <a:blip r:embed="rId1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29 QuickRef Name Country Company No. Company Type Company Status Incorporated User Grouping File Reference Floor, Herzliya, 4672560, Israel 159 4804 Panther HoldCo 2, Inc. Main Office : 347 Riverside Avenue, Jacksonville FL 32202, United States Registered Address: c/o The Corporation Trust Company, 1209 Orange Street, Wilmington DE 19801, United States United States 5914240 Corporation Active 2015-12-22 160 4805 Panther HoldCo, Inc. Main Office : 347 Riverside Avenue, Jacksonville FL 32202, United States Registered Address: C/O C T Corporation System, 160 Mine Lake Ct, Suite 200, Raleigh NC 27615-6417, United States United States 1487761 Corporation Active 2015-12-21 161 5009 Payment Chile S.A. Trading At: Alonso de Cordova 2860, Office 504, Vitacura, Santiago, 7630440, Chile Registered Office: Alonso de Cordova 2860, Office 504, Vitacura, Santiago, 7630440, Chile Chile 96.962.220-3 Corporation Active 2001-04-26 11000277391 162 3320 Payments Technology Services Limited Registered Office: Rooms 1001-03, 10/F, Wing On Kowloon Centre, 345 Nathan Road, Kowloon, Hong Kong, Hong Kong Hong Kong 37770365 Private Limited Company Active 2007-03-28 INTERNATIONA 11000537655 163 2282 Percentile Limited Trading At: 8 Lloyd's Avenue, Lloyd's Avenue, London, EC3N 3EL, United Kingdom Registered Office: c/o FIS Corporate Governance, The Walbrook Building, 25 Walbrook, London, England, EC4N 8AF, United Kingdom United Kingdom 8867031 Limited by Shares Active 2014-01-29 164 2238 Platform Securities Holdings Limited Trading At: Tricorn House, 51-53 Hagley Road, Edgbaston, Birmingham, B16 8TU, United Kingdom Registered Office: c/o FIS United Kingdom 05777728 Limited by Shares Active 2006-04-11 INTERNATIONA 11000464515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1" descr=""/>
                    <pic:cNvPicPr>
                      <a:picLocks noChangeAspect="1" noChangeArrowheads="1"/>
                    </pic:cNvPicPr>
                  </pic:nvPicPr>
                  <pic:blipFill>
                    <a:blip r:embed="rId1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30 QuickRef Name Country Company No. Company Type Company Status Incorporated User Grouping File Reference Corporate Governance, The Walbrook Building, 25 Walbrook, London, England, EC4N 8AF, United Kingdom 165 2247 Platform Securities International Limited Trading At: The View, Harbour Reach, La Rue de Carteret, St. Helier, JE2 4HR, Jersey Registered Office: The View, Harbour Reach, La Rue de Carteret, St. Helier, JE2 4HR, Jersey Jersey 116715 Limited by Shares Active 2014-09-26 11000521560 166 2261 Platform Securities International Nominees Limited Registered Office: The View, Harbour Reach, La Rue de Carteret, St. Helier, JE2 4HR, Jersey Jersey 117047 Limited by Shares Active 2014-11-10 11000521566 167 2239 Platform Securities LLP Trading At: Tricorn House, 51-53 Hagley Road, Edgbaston, Birmingham, B16 8TU, United Kingdom Registered Office: c/o FIS Corporate Governance, The Walbrook Building, 25 Walbrook, London, England, EC4N 8AF, United Kingdom United Kingdom OC301316 Limited Liability Partnership Active 2002-01-17 INTERNATIONA 11000464530 168 2241 Platform Securities Nominees Limited Trading At: Tricorn House, 51-53 Hagley Road, Edgbaston, Birmingham, B16 8TU, United Kingdom Registered Office: c/o FIS Corporate Governance, The Walbrook Building, 25 Walbrook, London, England, EC4N 8AF, United Kingdom Presenter: The Company's Registered Office United Kingdom 03780112 Limited by Shares Active 1999-05-25 INTERNATIONA 11000464532 169 2243 Platform Securities Services Limited Trading At: Tricorn House, 51-53 Hagley Road, Edgbaston, Birmingham, B16 8TU, United Kingdom United Kingdom 5289974 Limited by Shares Active 2004-11-18 INTERNATIONA 11000464534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2" descr=""/>
                    <pic:cNvPicPr>
                      <a:picLocks noChangeAspect="1" noChangeArrowheads="1"/>
                    </pic:cNvPicPr>
                  </pic:nvPicPr>
                  <pic:blipFill>
                    <a:blip r:embed="rId1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31 QuickRef Name Country Company No. Company Type Company Status Incorporated User Grouping File Reference Registered Office: c/o FIS Corporate Governance, The Walbrook Building, 25 Walbrook, London, England, EC4N 8AF, United Kingdom Presenter: The Company's Registered Office 170 2249 PT Fidelity Information Services Indonesia Trading At: One Pacific Place Level 11, Sudirman Central Business District (SCBD), Jalan Jend. Sudirman Kav. 52-53, Jakarta, 12190, Indonesia Registered Office: One Pacific Place Level 11, Sudirman Central Business District (SCBD), Jalan Jend. Sudirman Kav. 52-53, Jakarta, 12190, Indonesia Indonesia 9120403111381 Limited Liability Company Active 2015-03-02 INTERNATIONA 11000523409 171 4202 PT FIS Systems Indonesia Trading At: One Pacific Place Level 11, Sudirman Central Business District (SCBD), Jalan Jend. Sudirman Kav. 52-53, Jakarta, 12190, Indonesia Registered Office: One Pacific Place Level 11, Sudirman Central Business District (SCBD), Jalan Jend. Sudirman Kav. 52-53, Jakarta, 12190, Indonesia Indonesia 8120215290064 Private Limited Company Active 2011-09-23 172 3130 Reliance Financial Corporation Main Office : 201 17th St NW, Suite 1000, Atlanta GA 30363, United States Registered Address: c/o CT Corporation System, 1201 Peachtree Street, N.E., Atlanta GA 30361, United States United States 114658 Corporation Active 2001-03-26 11000492242 173 3129 Reliance Integrated Solutions LLC Main Office : 201 17th St NW, Suite 1000, Atlanta GA 30363, United States Registered Address: c/o The Corporation Trust Company, 1209 Orange Street, Wilmington DE 19801, United States United States 3365498 Limited Liability Company Active 2001-03-07 11000495886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3" descr=""/>
                    <pic:cNvPicPr>
                      <a:picLocks noChangeAspect="1" noChangeArrowheads="1"/>
                    </pic:cNvPicPr>
                  </pic:nvPicPr>
                  <pic:blipFill>
                    <a:blip r:embed="rId1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32 QuickRef Name Country Company No. Company Type Company Status Incorporated User Grouping File Reference 174 3132 Reliance Trust Company Main Office : 201 17th St NW, Suite 1000, Atlanta GA 30363, United States Registered Address: c/o CT Corporation System, 1201 Peachtree Street, N.E., Atlanta GA 30361, United States United States J715947 Corporation Active 1981-02-11 11000495889 175 3407 Rocket Partners Holdings, LLC Main Office : 347 Riverside Avenue, Jacksonville FL 32202, United States Registered Address: c/o The Corporation Trust Company, 1209 Orange Street, Wilmington DE 19801, United States United States 7758574 Limited Liability Company Active 2019-12-18 176 2240 Secondco Limited Trading At: Tricorn House, 51-53 Hagley Road, Edgbaston, Birmingham, B16 8TU, United Kingdom Registered Office: c/o FIS Corporate Governance, The Walbrook Building, 25 Walbrook, London, England, EC4N 8AF, United Kingdom Presenter: The Company's Registered Office United Kingdom 05297072 Limited by Shares Active 2004-11-26 INTERNATIONA 11000464536 177 4163 SunGard Global Trading (Australia) Pty. Ltd. Trading At: Level 12, 55 Clarence Street, Sydney NSW 2000, Australia Registered Office: Level 12, 55 Clarence Street, Sydney NSW 2000, Australia Australia 095 093 100 Proprietary Limited Active 2000-12-04 C21832 178 4227 SunGard India Sales Private Limited Registered Office: S-405 (LGF), Greater Kailash Part II, New Delhi, India, 110048, India India U72200DL2006F TC328928 Limited by Shares Active 2006-09-26 C15026 179 2281 Torstone Technology (Canada) Incorporated Registered Office: Marven's Place c/o Bingham Law, Attn: Kelsey 1 Factory Lane, Suite 310, Moncton E1C 9M2, Canada Canada 716712 Corporation Active 2020-05-22 180 2280 Torstone Technology Limited United Kingdom 7490275 Limited by Shares Active 2011-01-12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4" descr=""/>
                    <pic:cNvPicPr>
                      <a:picLocks noChangeAspect="1" noChangeArrowheads="1"/>
                    </pic:cNvPicPr>
                  </pic:nvPicPr>
                  <pic:blipFill>
                    <a:blip r:embed="rId1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33 QuickRef Name Country Company No. Company Type Company Status Incorporated User Grouping File Reference Registered Office: c/o FIS Corporate Governance, The Walbrook Building, 25 Walbrook, London, England, EC4N 8AF, United Kingdom 181 2271 Transactis, Inc. Main Office : 347 Riverside Avenue, Jacksonville FL 32202, United States Registered Address: The Corporation Trust Company, 1209 Orange Street, Wilmington DE 19801, United States United States 3448387 Corporation Active 2001-10-22 182 4150 Trax B.V. Trading At: De Kleetlaan 6A, 1831 Diegem, Belgium, Belgium Registered Office: De Kleetlaan 6A, 1831 Machelen, Belgium Belgium 0869 630 833 Private Limited Company Active 2004-10-22 C13364 183 3406 Virtus Group, LP Main Office : 347 Riverside Avenue, Jacksonville FL 32202, United States Registered Address: C T Corporation System, 1999 Bryan Street, Suite 900, Dallas Texas, Dallas 75201, United States United States 800552160 Limited Partnership Active 2005-09-30 184 VIRTLPHOLL Virtus LP Holdings, LLC Main Office : 347 Riverside Avenue, Jacksonville FL 32202, United States Registered Address: c/o The Corporation Trust Company, 1209 Orange Street, Wilmington DE 19801, United States United States 5658522 Limited Liability Company Active 2014-12-16 185 3404 Virtus Partners Fund Services Ireland Limited Registered Office: Alexandra House , 3 Ballsbridge Park, Dublin, D04 C7H2, Ireland Ireland 589158 Limited by Shares Active 2016-09-09 186 3405 Virtus Partners Fund Services Luxembourg S.a.r.l. Trading At: 8a rue Albert Borschette, Luxembourg, L-1246 , Luxembourg Registered Office: 8a rue Albert Borschette, Luxembourg, L-1246 , Luxembourg Luxembourg B218030 Limited Liability Company Active 2017-09-13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5" descr=""/>
                    <pic:cNvPicPr>
                      <a:picLocks noChangeAspect="1" noChangeArrowheads="1"/>
                    </pic:cNvPicPr>
                  </pic:nvPicPr>
                  <pic:blipFill>
                    <a:blip r:embed="rId1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34 QuickRef Name Country Company No. Company Type Company Status Incorporated User Grouping File Reference 187 3409 Virtus Partners Ireland Limited Registered Office: One Spencer Dock, North Wall Quay, Dublin 1, Dublin, D01 X9R7, Ireland Ireland 579751 Limited by Shares Active 2016-03-29 188 3410 Virtus Partners Limited Registered Office: c/o FIS Corporate Governance, The Walbrook Building, 25 Walbrook, London, England, EC4N 8AF, United Kingdom Presenter: c/o FIS Corporate Governance, The Walbrook Building, 25 Walbrook, London, England, EC4N 8AF, United Kingdom United Kingdom 06602363 Limited by Shares Active 2008-05-27 189 3411 Virtus Trade Settlement, LLC Main Office : 347 Riverside Avenue, Jacksonville FL 32202, United States Registered Address: c/o The Corporation Trust Company, 1209 Orange Street, Wilmington DE 19801, United States United States 5661891 Limited Liability Company Active 2014-12-19 190 VPFUNSER VP Fund Services, LLC Main Office : 347 Riverside Avenue, Jacksonville FL 32202, United States Registered Address: c/o The Corporation Trust Company, 1209 Orange Street, Wilmington DE 19801, United States United States 5704806 Limited Liability Company Active 2015-03-06 191 3802 Zenmonics Software Private Limited Registered Office: OB 3, Ground Floor, Plot No. 18-23,, Nanakramguda, Financial Dist., Hyderabad, Telangana, 500019, India India U72200TG2007P TC054931 Private Limited Company Active 2007-07-30 192 3801 Zenmonics, Inc. Main Office : 347 Riverside Avenue, Jacksonville FL 32202, United States Registered Address: CT Corporation System , 160 Mine Lake CT Suite 200, Raleigh NC 27615-6417, United States United States 0926610 Corporation Active 2007-07-09 193 Deft Merger Sub, LLC United States Limited Liability Company Active 2025-11-26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6" descr=""/>
                    <pic:cNvPicPr>
                      <a:picLocks noChangeAspect="1" noChangeArrowheads="1"/>
                    </pic:cNvPicPr>
                  </pic:nvPicPr>
                  <pic:blipFill>
                    <a:blip r:embed="rId1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Companies List Date 2026-01-15 Page 35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 333-132844, 333-132845, 333-162262, 333-206214, 333-230858, and 333-266198) on Form S-8 and (No. 333-288198) on Form S-3 of our reports dated February 24, 2026, with respect to the consolidated financial statements of Fidelity National Information Services, Inc. and subsidiaries and the effectiveness of internal control over financial reporting.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Stephanie Ferris, certify that: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annual report on Form 10-K of Fidelity National Information Services, Inc.;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p>
      <w:pPr>
        <w:pStyle w:val="TextBody"/>
        <w:bidi w:val="0"/>
        <w:spacing w:before="0" w:after="0"/>
        <w:jc w:val="center"/>
        <w:rPr/>
      </w:pPr>
      <w:r>
        <w:rPr/>
      </w:r>
    </w:p>
    <w:tbl>
      <w:tblPr>
        <w:tblW w:w="470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James Kehoe, certify that: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annual report on Form 10-K of Fidelity National Information Services, Inc.;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9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02"/>
        <w:gridCol w:w="602"/>
        <w:gridCol w:w="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pPr>
      <w:r>
        <w:rPr>
          <w:rFonts w:ascii="Times New Roman;serif" w:hAnsi="Times New Roman;serif"/>
          <w:b/>
          <w:color w:val="000000"/>
          <w:sz w:val="20"/>
        </w:rPr>
        <w:t>Exhibit 32.1</w:t>
      </w:r>
      <w:r>
        <w:rPr>
          <w:color w:val="000000"/>
        </w:rPr>
        <w:t xml:space="preserve">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The undersigned hereby certifies that she is the duly appointed and acting Chief Executive Officer of Fidelity National Information Services, Inc., a Georgia corporation (the “Company”), and hereby further certifies as follows.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her signature below. </w:t>
      </w:r>
    </w:p>
    <w:p>
      <w:pPr>
        <w:pStyle w:val="TextBody"/>
        <w:bidi w:val="0"/>
        <w:spacing w:before="60" w:after="283"/>
        <w:jc w:val="left"/>
        <w:rPr/>
      </w:pPr>
      <w:r>
        <w:rPr/>
      </w:r>
    </w:p>
    <w:p>
      <w:pPr>
        <w:pStyle w:val="TextBody"/>
        <w:bidi w:val="0"/>
        <w:spacing w:before="60" w:after="283"/>
        <w:jc w:val="left"/>
        <w:rPr/>
      </w:pPr>
      <w:r>
        <w:rPr/>
      </w:r>
    </w:p>
    <w:tbl>
      <w:tblPr>
        <w:tblW w:w="470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Ferris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6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center"/>
        <w:rPr/>
      </w:pPr>
      <w:r>
        <w:rPr/>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Chief Financial Officer of Fidelity National Information Services, Inc., a Georgia corporation (the “Company”), and hereby further certifies as follows.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p>
      <w:pPr>
        <w:pStyle w:val="TextBody"/>
        <w:bidi w:val="0"/>
        <w:spacing w:before="60" w:after="283"/>
        <w:jc w:val="left"/>
        <w:rPr/>
      </w:pPr>
      <w:r>
        <w:rPr/>
      </w:r>
    </w:p>
    <w:tbl>
      <w:tblPr>
        <w:tblW w:w="469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02"/>
        <w:gridCol w:w="602"/>
        <w:gridCol w:w="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Kehoe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r>
    </w:tbl>
    <w:p>
      <w:pPr>
        <w:pStyle w:val="TextBody"/>
        <w:bidi w:val="0"/>
        <w:spacing w:before="6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6893/000119312523185369/d514907dex21.htm" TargetMode="External"/><Relationship Id="rId4" Type="http://schemas.openxmlformats.org/officeDocument/2006/relationships/hyperlink" Target="https://www.sec.gov/Archives/edgar/data/1136893/000119312524021392/d761353dex22.htm" TargetMode="External"/><Relationship Id="rId5" Type="http://schemas.openxmlformats.org/officeDocument/2006/relationships/hyperlink" Target="https://www.sec.gov/Archives/edgar/data/1136893/000119312525086294/d830085dex21.htm" TargetMode="External"/><Relationship Id="rId6" Type="http://schemas.openxmlformats.org/officeDocument/2006/relationships/hyperlink" Target="https://www.sec.gov/Archives/edgar/data/1136893/000119312525086294/d830085dex21.htm" TargetMode="External"/><Relationship Id="rId7" Type="http://schemas.openxmlformats.org/officeDocument/2006/relationships/hyperlink" Target="https://www.sec.gov/Archives/edgar/data/1136893/000119312525086294/d830085dex21.htm" TargetMode="External"/><Relationship Id="rId8" Type="http://schemas.openxmlformats.org/officeDocument/2006/relationships/hyperlink" Target="https://www.sec.gov/Archives/edgar/data/1136893/000119312525086294/d830085dex21.htm" TargetMode="External"/><Relationship Id="rId9" Type="http://schemas.openxmlformats.org/officeDocument/2006/relationships/hyperlink" Target="https://www.sec.gov/Archives/edgar/data/1136893/000119312525086294/d830085dex21.htm" TargetMode="External"/><Relationship Id="rId10" Type="http://schemas.openxmlformats.org/officeDocument/2006/relationships/hyperlink" Target="https://www.sec.gov/Archives/edgar/data/1136893/000119312525086294/d830085dex21.htm" TargetMode="External"/><Relationship Id="rId11" Type="http://schemas.openxmlformats.org/officeDocument/2006/relationships/hyperlink" Target="https://www.sec.gov/Archives/edgar/data/1136893/000119312525086294/d830085dex21.htm" TargetMode="External"/><Relationship Id="rId12" Type="http://schemas.openxmlformats.org/officeDocument/2006/relationships/hyperlink" Target="https://www.sec.gov/Archives/edgar/data/1136893/000110465906006239/a06-3827_2ex3d1.htm" TargetMode="External"/><Relationship Id="rId13" Type="http://schemas.openxmlformats.org/officeDocument/2006/relationships/hyperlink" Target="https://www.sec.gov/Archives/edgar/data/1136893/000113689313000011/exhibit32amendmenttoarticl.htm" TargetMode="External"/><Relationship Id="rId14" Type="http://schemas.openxmlformats.org/officeDocument/2006/relationships/hyperlink" Target="https://www.sec.gov/Archives/edgar/data/1136893/000113689314000038/exhibit31fnisamendmentto.htm" TargetMode="External"/><Relationship Id="rId15" Type="http://schemas.openxmlformats.org/officeDocument/2006/relationships/hyperlink" Target="https://www.sec.gov/Archives/edgar/data/1136893/000119312519208224/d777638dex31.htm" TargetMode="External"/><Relationship Id="rId16" Type="http://schemas.openxmlformats.org/officeDocument/2006/relationships/hyperlink" Target="https://www.sec.gov/Archives/edgar/data/1136893/000113689324000139/fis-sixthamendedandresta.htm" TargetMode="External"/><Relationship Id="rId17" Type="http://schemas.openxmlformats.org/officeDocument/2006/relationships/hyperlink" Target="https://www.sec.gov/Archives/edgar/data/1136893/000110465906006244/a06-4171_1ex4d3.htm" TargetMode="External"/><Relationship Id="rId18" Type="http://schemas.openxmlformats.org/officeDocument/2006/relationships/hyperlink" Target="https://www.sec.gov/Archives/edgar/data/1136893/000119312513154805/d520857dex41.htm" TargetMode="External"/><Relationship Id="rId19" Type="http://schemas.openxmlformats.org/officeDocument/2006/relationships/hyperlink" Target="https://www.sec.gov/Archives/edgar/data/1136893/000119312516683053/d229205dex43.htm" TargetMode="External"/><Relationship Id="rId20" Type="http://schemas.openxmlformats.org/officeDocument/2006/relationships/hyperlink" Target="https://www.sec.gov/Archives/edgar/data/1136893/000119312518165068/d568943dex41.htm" TargetMode="External"/><Relationship Id="rId21" Type="http://schemas.openxmlformats.org/officeDocument/2006/relationships/hyperlink" Target="https://www.sec.gov/Archives/edgar/data/1136893/000119312518165068/d568943dex42.htm" TargetMode="External"/><Relationship Id="rId22" Type="http://schemas.openxmlformats.org/officeDocument/2006/relationships/hyperlink" Target="https://www.sec.gov/Archives/edgar/data/1136893/000119312519152755/d745669dex43.htm" TargetMode="External"/><Relationship Id="rId23" Type="http://schemas.openxmlformats.org/officeDocument/2006/relationships/hyperlink" Target="https://www.sec.gov/Archives/edgar/data/1136893/000119312519152755/d745669dex44.htm" TargetMode="External"/><Relationship Id="rId24" Type="http://schemas.openxmlformats.org/officeDocument/2006/relationships/hyperlink" Target="https://www.sec.gov/Archives/edgar/data/1136893/000119312519152755/d745669dex45.htm" TargetMode="External"/><Relationship Id="rId25" Type="http://schemas.openxmlformats.org/officeDocument/2006/relationships/hyperlink" Target="https://www.sec.gov/Archives/edgar/data/1136893/000119312519152755/d745669dex48.htm" TargetMode="External"/><Relationship Id="rId26" Type="http://schemas.openxmlformats.org/officeDocument/2006/relationships/hyperlink" Target="https://www.sec.gov/Archives/edgar/data/1136893/000119312519152755/d745669dex49.htm" TargetMode="External"/><Relationship Id="rId27" Type="http://schemas.openxmlformats.org/officeDocument/2006/relationships/hyperlink" Target="https://www.sec.gov/Archives/edgar/data/1136893/000119312519305308/d840608dex42.htm" TargetMode="External"/><Relationship Id="rId28" Type="http://schemas.openxmlformats.org/officeDocument/2006/relationships/hyperlink" Target="https://www.sec.gov/Archives/edgar/data/1136893/000119312519305308/d840608dex43.htm" TargetMode="External"/><Relationship Id="rId29" Type="http://schemas.openxmlformats.org/officeDocument/2006/relationships/hyperlink" Target="https://www.sec.gov/Archives/edgar/data/1136893/000119312519305308/d840608dex44.htm" TargetMode="External"/><Relationship Id="rId30" Type="http://schemas.openxmlformats.org/officeDocument/2006/relationships/hyperlink" Target="https://www.sec.gov/Archives/edgar/data/1136893/000119312521065642/d321369dex43.htm" TargetMode="External"/><Relationship Id="rId31" Type="http://schemas.openxmlformats.org/officeDocument/2006/relationships/hyperlink" Target="https://www.sec.gov/Archives/edgar/data/1136893/000119312521065642/d321369dex44.htm" TargetMode="External"/><Relationship Id="rId32" Type="http://schemas.openxmlformats.org/officeDocument/2006/relationships/hyperlink" Target="https://www.sec.gov/Archives/edgar/data/1136893/000119312521065642/d321369dex45.htm" TargetMode="External"/><Relationship Id="rId33" Type="http://schemas.openxmlformats.org/officeDocument/2006/relationships/hyperlink" Target="https://www.sec.gov/Archives/edgar/data/1136893/000119312521065642/d321369dex46.htm" TargetMode="External"/><Relationship Id="rId34" Type="http://schemas.openxmlformats.org/officeDocument/2006/relationships/hyperlink" Target="https://www.sec.gov/Archives/edgar/data/1136893/000119312522192902/d219846dex41.htm" TargetMode="External"/><Relationship Id="rId35" Type="http://schemas.openxmlformats.org/officeDocument/2006/relationships/hyperlink" Target="https://www.sec.gov/Archives/edgar/data/1136893/000119312522192902/d219846dex42.htm" TargetMode="External"/><Relationship Id="rId36" Type="http://schemas.openxmlformats.org/officeDocument/2006/relationships/hyperlink" Target="https://www.sec.gov/Archives/edgar/data/1136893/000119312522192902/d219846dex43.htm" TargetMode="External"/><Relationship Id="rId37" Type="http://schemas.openxmlformats.org/officeDocument/2006/relationships/hyperlink" Target="https://www.sec.gov/Archives/edgar/data/1136893/000119312522192902/d219846dex44.htm" TargetMode="External"/><Relationship Id="rId38" Type="http://schemas.openxmlformats.org/officeDocument/2006/relationships/hyperlink" Target="https://www.sec.gov/Archives/edgar/data/1136893/000113689320000032/exhibit425commonstock1.htm" TargetMode="External"/><Relationship Id="rId39" Type="http://schemas.openxmlformats.org/officeDocument/2006/relationships/hyperlink" Target="https://www.sec.gov/Archives/edgar/data/1136893/000113689324000015/exhibit426descriptionof202.htm" TargetMode="External"/><Relationship Id="rId40" Type="http://schemas.openxmlformats.org/officeDocument/2006/relationships/hyperlink" Target="https://www.sec.gov/Archives/edgar/data/1136893/000095014402002688/g74736ex10-25.txt" TargetMode="External"/><Relationship Id="rId41" Type="http://schemas.openxmlformats.org/officeDocument/2006/relationships/hyperlink" Target="https://www.sec.gov/Archives/edgar/data/1136893/000095014402002688/g74736ex10-15.txt" TargetMode="External"/><Relationship Id="rId42" Type="http://schemas.openxmlformats.org/officeDocument/2006/relationships/hyperlink" Target="https://www.sec.gov/Archives/edgar/data/1136893/000119312504024670/dex1015a.htm" TargetMode="External"/><Relationship Id="rId43" Type="http://schemas.openxmlformats.org/officeDocument/2006/relationships/hyperlink" Target="https://www.sec.gov/Archives/edgar/data/1136893/000113689323000028/exhibit1026tsaicaroline-.htm" TargetMode="External"/><Relationship Id="rId44" Type="http://schemas.openxmlformats.org/officeDocument/2006/relationships/hyperlink" Target="https://www.sec.gov/Archives/edgar/data/1136893/000113689317000008/ex1062performanceoptions20.htm" TargetMode="External"/><Relationship Id="rId45" Type="http://schemas.openxmlformats.org/officeDocument/2006/relationships/hyperlink" Target="https://www.sec.gov/Archives/edgar/data/1136893/000113689319000008/dirso2017_directorxtimexop.htm" TargetMode="External"/><Relationship Id="rId46" Type="http://schemas.openxmlformats.org/officeDocument/2006/relationships/hyperlink" Target="https://www.sec.gov/Archives/edgar/data/1136893/000113689319000008/fnpso17_employeexperforman.htm" TargetMode="External"/><Relationship Id="rId47" Type="http://schemas.openxmlformats.org/officeDocument/2006/relationships/hyperlink" Target="https://www.sec.gov/Archives/edgar/data/1136893/000113689319000008/fn_fsxoptionxogaex10-51.htm" TargetMode="External"/><Relationship Id="rId48" Type="http://schemas.openxmlformats.org/officeDocument/2006/relationships/hyperlink" Target="https://www.sec.gov/Archives/edgar/data/1136893/000119312518280627/d596033dex101.htm" TargetMode="External"/><Relationship Id="rId49" Type="http://schemas.openxmlformats.org/officeDocument/2006/relationships/hyperlink" Target="https://www.sec.gov/Archives/edgar/data/1136893/000113689320000273/fis-amendmenttoamended.htm" TargetMode="External"/><Relationship Id="rId50" Type="http://schemas.openxmlformats.org/officeDocument/2006/relationships/hyperlink" Target="https://www.sec.gov/Archives/edgar/data/1136893/000113689320000032/ex1043fnfsoptionoga2019.htm" TargetMode="External"/><Relationship Id="rId51" Type="http://schemas.openxmlformats.org/officeDocument/2006/relationships/hyperlink" Target="https://www.sec.gov/Archives/edgar/data/1136893/000113689320000032/exhibit1051stockoption.htm" TargetMode="External"/><Relationship Id="rId52" Type="http://schemas.openxmlformats.org/officeDocument/2006/relationships/hyperlink" Target="https://www.sec.gov/Archives/edgar/data/1136893/000113689320000032/exhibit1052stockoption.htm" TargetMode="External"/><Relationship Id="rId53" Type="http://schemas.openxmlformats.org/officeDocument/2006/relationships/hyperlink" Target="https://www.sec.gov/Archives/edgar/data/1533932/000153393213000150/vntvex-101x2013331options.htm" TargetMode="External"/><Relationship Id="rId54" Type="http://schemas.openxmlformats.org/officeDocument/2006/relationships/hyperlink" Target="https://www.sec.gov/Archives/edgar/data/1533932/000153393218000086/wpex-101614worldpaystockop.htm" TargetMode="External"/><Relationship Id="rId55" Type="http://schemas.openxmlformats.org/officeDocument/2006/relationships/hyperlink" Target="https://www.sec.gov/Archives/edgar/data/1533932/000153393219000044/wpex-1040x20181231.htm" TargetMode="External"/><Relationship Id="rId56" Type="http://schemas.openxmlformats.org/officeDocument/2006/relationships/hyperlink" Target="https://www.sec.gov/Archives/edgar/data/1136893/000113689321000025/fn_fsxfwxdirectorxdeferred.htm" TargetMode="External"/><Relationship Id="rId57" Type="http://schemas.openxmlformats.org/officeDocument/2006/relationships/hyperlink" Target="https://www.sec.gov/Archives/edgar/data/1136893/000113689321000025/fn_fsxfwxoptionxoga2020ex1.htm" TargetMode="External"/><Relationship Id="rId58" Type="http://schemas.openxmlformats.org/officeDocument/2006/relationships/hyperlink" Target="https://www.sec.gov/Archives/edgar/data/1136893/000113689321000094/ex101qualifiedretirementpr.htm" TargetMode="External"/><Relationship Id="rId59" Type="http://schemas.openxmlformats.org/officeDocument/2006/relationships/hyperlink" Target="https://www.sec.gov/Archives/edgar/data/1136893/000113689321000094/ex102fn_fsxfwxoptionxoga20.htm" TargetMode="External"/><Relationship Id="rId60" Type="http://schemas.openxmlformats.org/officeDocument/2006/relationships/hyperlink" Target="https://www.sec.gov/Archives/edgar/data/1136893/000113689322000180/final-executioncopystephan.htm" TargetMode="External"/><Relationship Id="rId61" Type="http://schemas.openxmlformats.org/officeDocument/2006/relationships/hyperlink" Target="https://www.sec.gov/Archives/edgar/data/1136893/000119312523218012/d534612dex101.htm" TargetMode="External"/><Relationship Id="rId62" Type="http://schemas.openxmlformats.org/officeDocument/2006/relationships/hyperlink" Target="https://www.sec.gov/Archives/edgar/data/1136893/000113689323000077/ex101fisoption2023_final.htm" TargetMode="External"/><Relationship Id="rId63" Type="http://schemas.openxmlformats.org/officeDocument/2006/relationships/hyperlink" Target="https://www.sec.gov/Archives/edgar/data/1136893/000113689323000077/ex102fispsu_2023xrelativet.htm" TargetMode="External"/><Relationship Id="rId64" Type="http://schemas.openxmlformats.org/officeDocument/2006/relationships/hyperlink" Target="https://www.sec.gov/Archives/edgar/data/1136893/000113689323000077/ex103fisrsu2023_final.htm" TargetMode="External"/><Relationship Id="rId65" Type="http://schemas.openxmlformats.org/officeDocument/2006/relationships/hyperlink" Target="https://www.sec.gov/Archives/edgar/data/1136893/000119312524044681/d764426dex102.htm" TargetMode="External"/><Relationship Id="rId66" Type="http://schemas.openxmlformats.org/officeDocument/2006/relationships/hyperlink" Target="https://www.sec.gov/Archives/edgar/data/1136893/000113689324000113/exhibit101-redactedxexhibi.htm" TargetMode="External"/><Relationship Id="rId67" Type="http://schemas.openxmlformats.org/officeDocument/2006/relationships/hyperlink" Target="https://www.sec.gov/Archives/edgar/data/1136893/000113689324000113/exhibit101-redactedxexhibi.htm" TargetMode="External"/><Relationship Id="rId68" Type="http://schemas.openxmlformats.org/officeDocument/2006/relationships/hyperlink" Target="https://www.sec.gov/Archives/edgar/data/1136893/000113689324000113/exhibit102-redactedxexhibi.htm" TargetMode="External"/><Relationship Id="rId69" Type="http://schemas.openxmlformats.org/officeDocument/2006/relationships/hyperlink" Target="https://www.sec.gov/Archives/edgar/data/1136893/000113689324000113/exhibit103-exhibitg1xrsuag.htm" TargetMode="External"/><Relationship Id="rId70" Type="http://schemas.openxmlformats.org/officeDocument/2006/relationships/hyperlink" Target="https://www.sec.gov/Archives/edgar/data/1136893/000113689324000113/exhibit104-redactedxexhibi.htm" TargetMode="External"/><Relationship Id="rId71" Type="http://schemas.openxmlformats.org/officeDocument/2006/relationships/hyperlink" Target="https://www.sec.gov/Archives/edgar/data/1136893/000113689324000113/exhibit105-redactedxexhibi.htm" TargetMode="External"/><Relationship Id="rId72" Type="http://schemas.openxmlformats.org/officeDocument/2006/relationships/hyperlink" Target="https://www.sec.gov/Archives/edgar/data/1136893/000119312525277795/d46240dex101.htm" TargetMode="External"/><Relationship Id="rId73" Type="http://schemas.openxmlformats.org/officeDocument/2006/relationships/hyperlink" Target="https://www.sec.gov/Archives/edgar/data/1136893/000119312525277795/d46240dex102.htm" TargetMode="External"/><Relationship Id="rId74" Type="http://schemas.openxmlformats.org/officeDocument/2006/relationships/hyperlink" Target="https://www.sec.gov/Archives/edgar/data/1136893/000113689325000056/exhibit102fis2025rsuone-th.htm" TargetMode="External"/><Relationship Id="rId75" Type="http://schemas.openxmlformats.org/officeDocument/2006/relationships/hyperlink" Target="https://www.sec.gov/Archives/edgar/data/1136893/000113689325000056/exhibit102fis2025rsuone-th.htm" TargetMode="External"/><Relationship Id="rId76" Type="http://schemas.openxmlformats.org/officeDocument/2006/relationships/hyperlink" Target="https://www.sec.gov/Archives/edgar/data/1136893/000113689325000056/exhibit102fis2025rsuone-th.htm" TargetMode="External"/><Relationship Id="rId77" Type="http://schemas.openxmlformats.org/officeDocument/2006/relationships/hyperlink" Target="https://www.sec.gov/Archives/edgar/data/1136893/000113689325000056/exhibit102fis2025rsuone-th.htm" TargetMode="External"/><Relationship Id="rId78" Type="http://schemas.openxmlformats.org/officeDocument/2006/relationships/hyperlink" Target="https://www.sec.gov/Archives/edgar/data/1136893/000113689325000056/exhibit102fis2025rsuone-th.htm" TargetMode="External"/><Relationship Id="rId79" Type="http://schemas.openxmlformats.org/officeDocument/2006/relationships/hyperlink" Target="https://www.sec.gov/Archives/edgar/data/1136893/000113689325000056/exhibit102fis2025rsuone-th.htm" TargetMode="External"/><Relationship Id="rId80" Type="http://schemas.openxmlformats.org/officeDocument/2006/relationships/hyperlink" Target="https://www.sec.gov/Archives/edgar/data/1136893/000113689325000056/exhibit102fis2025rsuone-th.htm" TargetMode="External"/><Relationship Id="rId81" Type="http://schemas.openxmlformats.org/officeDocument/2006/relationships/hyperlink" Target="https://www.sec.gov/Archives/edgar/data/1136893/000113689325000056/exhibit103fis-psuagreement.htm" TargetMode="External"/><Relationship Id="rId82" Type="http://schemas.openxmlformats.org/officeDocument/2006/relationships/hyperlink" Target="https://www.sec.gov/Archives/edgar/data/1136893/000113689325000056/exhibit103fis-psuagreement.htm" TargetMode="External"/><Relationship Id="rId83" Type="http://schemas.openxmlformats.org/officeDocument/2006/relationships/hyperlink" Target="https://www.sec.gov/Archives/edgar/data/1136893/000113689325000056/exhibit103fis-psuagreement.htm" TargetMode="External"/><Relationship Id="rId84" Type="http://schemas.openxmlformats.org/officeDocument/2006/relationships/hyperlink" Target="https://www.sec.gov/Archives/edgar/data/1136893/000113689325000056/exhibit103fis-psuagreement.htm" TargetMode="External"/><Relationship Id="rId85" Type="http://schemas.openxmlformats.org/officeDocument/2006/relationships/hyperlink" Target="https://www.sec.gov/Archives/edgar/data/1136893/000113689325000056/exhibit103fis-psuagreement.htm" TargetMode="External"/><Relationship Id="rId86" Type="http://schemas.openxmlformats.org/officeDocument/2006/relationships/hyperlink" Target="https://www.sec.gov/Archives/edgar/data/1136893/000113689325000056/exhibit103fis-psuagreement.htm" TargetMode="External"/><Relationship Id="rId87" Type="http://schemas.openxmlformats.org/officeDocument/2006/relationships/hyperlink" Target="https://www.sec.gov/Archives/edgar/data/1136893/000113689325000056/exhibit103fis-psuagreement.htm" TargetMode="External"/><Relationship Id="rId88" Type="http://schemas.openxmlformats.org/officeDocument/2006/relationships/hyperlink" Target="https://www.sec.gov/Archives/edgar/data/1136893/000119312525113834/d943613dex101.htm" TargetMode="External"/><Relationship Id="rId89" Type="http://schemas.openxmlformats.org/officeDocument/2006/relationships/hyperlink" Target="https://www.sec.gov/Archives/edgar/data/1136893/000119312525113834/d943613dex101.htm" TargetMode="External"/><Relationship Id="rId90" Type="http://schemas.openxmlformats.org/officeDocument/2006/relationships/hyperlink" Target="https://www.sec.gov/Archives/edgar/data/1136893/000119312525113834/d943613dex101.htm" TargetMode="External"/><Relationship Id="rId91" Type="http://schemas.openxmlformats.org/officeDocument/2006/relationships/hyperlink" Target="https://www.sec.gov/Archives/edgar/data/1136893/000119312525113834/d943613dex101.htm" TargetMode="External"/><Relationship Id="rId92" Type="http://schemas.openxmlformats.org/officeDocument/2006/relationships/hyperlink" Target="https://www.sec.gov/Archives/edgar/data/1136893/000119312525113834/d943613dex101.htm" TargetMode="External"/><Relationship Id="rId93" Type="http://schemas.openxmlformats.org/officeDocument/2006/relationships/hyperlink" Target="https://www.sec.gov/Archives/edgar/data/1136893/000119312525113834/d943613dex101.htm" TargetMode="External"/><Relationship Id="rId94" Type="http://schemas.openxmlformats.org/officeDocument/2006/relationships/hyperlink" Target="https://www.sec.gov/Archives/edgar/data/1136893/000119312525113834/d943613dex101.htm" TargetMode="External"/><Relationship Id="rId95" Type="http://schemas.openxmlformats.org/officeDocument/2006/relationships/hyperlink" Target="https://www.sec.gov/Archives/edgar/data/1136893/000119312525113834/d943613dex101.htm" TargetMode="External"/><Relationship Id="rId96" Type="http://schemas.openxmlformats.org/officeDocument/2006/relationships/hyperlink" Target="https://www.sec.gov/Archives/edgar/data/1136893/000119312525113834/d943613dex101.htm" TargetMode="External"/><Relationship Id="rId97" Type="http://schemas.openxmlformats.org/officeDocument/2006/relationships/hyperlink" Target="https://www.sec.gov/Archives/edgar/data/1136893/000119312525113834/d943613dex101.htm" TargetMode="External"/><Relationship Id="rId98" Type="http://schemas.openxmlformats.org/officeDocument/2006/relationships/hyperlink" Target="https://www.sec.gov/Archives/edgar/data/1136893/000113689324000139/ex101amendmentto2022omnibu.htm" TargetMode="External"/><Relationship Id="rId99" Type="http://schemas.openxmlformats.org/officeDocument/2006/relationships/hyperlink" Target="https://www.sec.gov/Archives/edgar/data/1136893/000113689324000139/ex102amendmenttoesppplan.htm" TargetMode="External"/><Relationship Id="rId100" Type="http://schemas.openxmlformats.org/officeDocument/2006/relationships/hyperlink" Target="https://www.sec.gov/Archives/edgar/data/1136893/000113689324000139/ex102amendmenttoesppplan.htm" TargetMode="External"/><Relationship Id="rId101" Type="http://schemas.openxmlformats.org/officeDocument/2006/relationships/hyperlink" Target="https://www.sec.gov/Archives/edgar/data/1136893/000113689324000139/ex102amendmenttoesppplan.htm" TargetMode="External"/><Relationship Id="rId102" Type="http://schemas.openxmlformats.org/officeDocument/2006/relationships/hyperlink" Target="https://www.sec.gov/Archives/edgar/data/1136893/000113689324000139/ex102amendmenttoesppplan.htm" TargetMode="External"/><Relationship Id="rId103" Type="http://schemas.openxmlformats.org/officeDocument/2006/relationships/hyperlink" Target="https://www.sec.gov/Archives/edgar/data/1136893/000113689324000139/ex102amendmenttoesppplan.htm" TargetMode="External"/><Relationship Id="rId104" Type="http://schemas.openxmlformats.org/officeDocument/2006/relationships/hyperlink" Target="https://www.sec.gov/Archives/edgar/data/1136893/000113689324000139/ex102amendmenttoesppplan.htm" TargetMode="External"/><Relationship Id="rId105" Type="http://schemas.openxmlformats.org/officeDocument/2006/relationships/hyperlink" Target="https://www.sec.gov/Archives/edgar/data/1136893/000113689324000139/ex103executiveseverancepla.htm" TargetMode="External"/><Relationship Id="rId106" Type="http://schemas.openxmlformats.org/officeDocument/2006/relationships/hyperlink" Target="https://www.sec.gov/Archives/edgar/data/1136893/000113689324000139/ex103executiveseverancepla.htm" TargetMode="External"/><Relationship Id="rId107" Type="http://schemas.openxmlformats.org/officeDocument/2006/relationships/hyperlink" Target="https://www.sec.gov/Archives/edgar/data/1136893/000113689324000139/ex103executiveseverancepla.htm" TargetMode="External"/><Relationship Id="rId108" Type="http://schemas.openxmlformats.org/officeDocument/2006/relationships/hyperlink" Target="https://www.sec.gov/Archives/edgar/data/1136893/000113689324000139/ex103executiveseverancepla.htm" TargetMode="External"/><Relationship Id="rId109" Type="http://schemas.openxmlformats.org/officeDocument/2006/relationships/hyperlink" Target="https://www.sec.gov/Archives/edgar/data/1136893/000113689324000139/ex103executiveseverancepla.htm" TargetMode="External"/><Relationship Id="rId110" Type="http://schemas.openxmlformats.org/officeDocument/2006/relationships/hyperlink" Target="https://www.sec.gov/Archives/edgar/data/1136893/000113689325000014/exhibit191fis-securities.htm" TargetMode="External"/><Relationship Id="rId111" Type="http://schemas.openxmlformats.org/officeDocument/2006/relationships/hyperlink" Target="https://www.sec.gov/Archives/edgar/data/1136893/000113689324000015/exhibit970308excessincen.htm" TargetMode="External"/><Relationship Id="rId112" Type="http://schemas.openxmlformats.org/officeDocument/2006/relationships/image" Target="media/image2.jpeg"/><Relationship Id="rId113" Type="http://schemas.openxmlformats.org/officeDocument/2006/relationships/image" Target="media/image3.jpeg"/><Relationship Id="rId114" Type="http://schemas.openxmlformats.org/officeDocument/2006/relationships/image" Target="media/image4.jpeg"/><Relationship Id="rId115" Type="http://schemas.openxmlformats.org/officeDocument/2006/relationships/image" Target="media/image5.jpeg"/><Relationship Id="rId116" Type="http://schemas.openxmlformats.org/officeDocument/2006/relationships/image" Target="media/image6.jpeg"/><Relationship Id="rId117" Type="http://schemas.openxmlformats.org/officeDocument/2006/relationships/image" Target="media/image7.jpeg"/><Relationship Id="rId118" Type="http://schemas.openxmlformats.org/officeDocument/2006/relationships/image" Target="media/image8.jpeg"/><Relationship Id="rId119" Type="http://schemas.openxmlformats.org/officeDocument/2006/relationships/image" Target="media/image9.jpeg"/><Relationship Id="rId120" Type="http://schemas.openxmlformats.org/officeDocument/2006/relationships/image" Target="media/image10.jpeg"/><Relationship Id="rId121" Type="http://schemas.openxmlformats.org/officeDocument/2006/relationships/image" Target="media/image11.jpeg"/><Relationship Id="rId122" Type="http://schemas.openxmlformats.org/officeDocument/2006/relationships/image" Target="media/image12.jpeg"/><Relationship Id="rId123" Type="http://schemas.openxmlformats.org/officeDocument/2006/relationships/image" Target="media/image13.jpeg"/><Relationship Id="rId124" Type="http://schemas.openxmlformats.org/officeDocument/2006/relationships/image" Target="media/image14.jpeg"/><Relationship Id="rId125" Type="http://schemas.openxmlformats.org/officeDocument/2006/relationships/image" Target="media/image15.jpeg"/><Relationship Id="rId126" Type="http://schemas.openxmlformats.org/officeDocument/2006/relationships/image" Target="media/image16.jpeg"/><Relationship Id="rId127" Type="http://schemas.openxmlformats.org/officeDocument/2006/relationships/image" Target="media/image17.jpeg"/><Relationship Id="rId128" Type="http://schemas.openxmlformats.org/officeDocument/2006/relationships/image" Target="media/image18.jpeg"/><Relationship Id="rId129" Type="http://schemas.openxmlformats.org/officeDocument/2006/relationships/image" Target="media/image19.jpeg"/><Relationship Id="rId130" Type="http://schemas.openxmlformats.org/officeDocument/2006/relationships/image" Target="media/image20.jpeg"/><Relationship Id="rId131" Type="http://schemas.openxmlformats.org/officeDocument/2006/relationships/image" Target="media/image21.jpeg"/><Relationship Id="rId132" Type="http://schemas.openxmlformats.org/officeDocument/2006/relationships/image" Target="media/image22.jpeg"/><Relationship Id="rId133" Type="http://schemas.openxmlformats.org/officeDocument/2006/relationships/image" Target="media/image23.jpeg"/><Relationship Id="rId134" Type="http://schemas.openxmlformats.org/officeDocument/2006/relationships/image" Target="media/image24.jpeg"/><Relationship Id="rId135" Type="http://schemas.openxmlformats.org/officeDocument/2006/relationships/image" Target="media/image25.jpeg"/><Relationship Id="rId136" Type="http://schemas.openxmlformats.org/officeDocument/2006/relationships/image" Target="media/image26.jpeg"/><Relationship Id="rId137" Type="http://schemas.openxmlformats.org/officeDocument/2006/relationships/image" Target="media/image27.jpeg"/><Relationship Id="rId138" Type="http://schemas.openxmlformats.org/officeDocument/2006/relationships/image" Target="media/image28.jpeg"/><Relationship Id="rId139" Type="http://schemas.openxmlformats.org/officeDocument/2006/relationships/image" Target="media/image29.jpeg"/><Relationship Id="rId140" Type="http://schemas.openxmlformats.org/officeDocument/2006/relationships/image" Target="media/image30.jpeg"/><Relationship Id="rId141" Type="http://schemas.openxmlformats.org/officeDocument/2006/relationships/image" Target="media/image31.jpeg"/><Relationship Id="rId142" Type="http://schemas.openxmlformats.org/officeDocument/2006/relationships/image" Target="media/image32.jpeg"/><Relationship Id="rId143" Type="http://schemas.openxmlformats.org/officeDocument/2006/relationships/image" Target="media/image33.jpeg"/><Relationship Id="rId144" Type="http://schemas.openxmlformats.org/officeDocument/2006/relationships/image" Target="media/image34.jpeg"/><Relationship Id="rId145" Type="http://schemas.openxmlformats.org/officeDocument/2006/relationships/image" Target="media/image35.jpeg"/><Relationship Id="rId146" Type="http://schemas.openxmlformats.org/officeDocument/2006/relationships/image" Target="media/image36.jpeg"/><Relationship Id="rId147" Type="http://schemas.openxmlformats.org/officeDocument/2006/relationships/fontTable" Target="fontTable.xml"/><Relationship Id="rId1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88286</Words>
  <Characters>500931</Characters>
  <CharactersWithSpaces>585670</CharactersWithSpaces>
  <Paragraphs>6134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listofsubsfinalcompanies</dc:title>
</cp:coreProperties>
</file>