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tbl>
      <w:tblPr>
        <w:tblW w:w="3695" w:type="dxa"/>
        <w:jc w:val="left"/>
        <w:tblInd w:w="0" w:type="dxa"/>
        <w:tblLayout w:type="fixed"/>
        <w:tblCellMar>
          <w:top w:w="28" w:type="dxa"/>
          <w:left w:w="28" w:type="dxa"/>
          <w:bottom w:w="28" w:type="dxa"/>
          <w:right w:w="28" w:type="dxa"/>
        </w:tblCellMar>
      </w:tblPr>
      <w:tblGrid>
        <w:gridCol w:w="965"/>
        <w:gridCol w:w="849"/>
        <w:gridCol w:w="855"/>
        <w:gridCol w:w="109"/>
        <w:gridCol w:w="109"/>
        <w:gridCol w:w="109"/>
        <w:gridCol w:w="109"/>
        <w:gridCol w:w="109"/>
        <w:gridCol w:w="109"/>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For the transition period from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001-16427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Fidelity National Information Services,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206" w:type="dxa"/>
        <w:jc w:val="center"/>
        <w:tblInd w:w="0" w:type="dxa"/>
        <w:tblLayout w:type="fixed"/>
        <w:tblCellMar>
          <w:top w:w="28" w:type="dxa"/>
          <w:left w:w="28" w:type="dxa"/>
          <w:bottom w:w="28" w:type="dxa"/>
          <w:right w:w="28" w:type="dxa"/>
        </w:tblCellMar>
      </w:tblPr>
      <w:tblGrid>
        <w:gridCol w:w="1848"/>
        <w:gridCol w:w="1627"/>
        <w:gridCol w:w="1639"/>
        <w:gridCol w:w="250"/>
        <w:gridCol w:w="250"/>
        <w:gridCol w:w="251"/>
        <w:gridCol w:w="109"/>
        <w:gridCol w:w="109"/>
        <w:gridCol w:w="109"/>
        <w:gridCol w:w="881"/>
        <w:gridCol w:w="881"/>
        <w:gridCol w:w="1252"/>
      </w:tblGrid>
      <w:tr>
        <w:trPr/>
        <w:tc>
          <w:tcPr>
            <w:tcW w:w="184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37-1490331</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or organization)</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347 Riverside Avenue</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Jacksonville</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32202</w:t>
            </w:r>
          </w:p>
        </w:tc>
      </w:tr>
      <w:tr>
        <w:trPr/>
        <w:tc>
          <w:tcPr>
            <w:tcW w:w="5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(904) 438-6000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8838" w:type="dxa"/>
        <w:jc w:val="center"/>
        <w:tblInd w:w="0" w:type="dxa"/>
        <w:tblLayout w:type="fixed"/>
        <w:tblCellMar>
          <w:top w:w="28" w:type="dxa"/>
          <w:left w:w="28" w:type="dxa"/>
          <w:bottom w:w="28" w:type="dxa"/>
          <w:right w:w="28" w:type="dxa"/>
        </w:tblCellMar>
      </w:tblPr>
      <w:tblGrid>
        <w:gridCol w:w="1328"/>
        <w:gridCol w:w="1166"/>
        <w:gridCol w:w="1166"/>
        <w:gridCol w:w="308"/>
        <w:gridCol w:w="308"/>
        <w:gridCol w:w="308"/>
        <w:gridCol w:w="315"/>
        <w:gridCol w:w="315"/>
        <w:gridCol w:w="315"/>
        <w:gridCol w:w="308"/>
        <w:gridCol w:w="308"/>
        <w:gridCol w:w="308"/>
        <w:gridCol w:w="698"/>
        <w:gridCol w:w="698"/>
        <w:gridCol w:w="989"/>
      </w:tblGrid>
      <w:tr>
        <w:trPr/>
        <w:tc>
          <w:tcPr>
            <w:tcW w:w="132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883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1.500% Senior Notes due 2027</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FIS27</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 Senior Notes due 2028</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FIS28</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 Rate Senior Notes due 2028</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FIS28C</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2.250% Senior Notes due 2029</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FIS29</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 Senior Notes due 2030</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FIS30</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3.450% Senior Notes due 2030</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FIS30A</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3.360% Senior Notes due 2031</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FIS31</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2.950% Senior Notes due 2039</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FIS39</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283"/>
        <w:ind w:left="0" w:right="0" w:firstLine="315"/>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15"/>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before="0" w:after="0"/>
        <w:ind w:left="0" w:right="0" w:firstLine="315"/>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15"/>
        <w:jc w:val="left"/>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July 31, 2026, 515,705,917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Quarter Ended June 30,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8461" w:type="dxa"/>
        <w:jc w:val="center"/>
        <w:tblInd w:w="0" w:type="dxa"/>
        <w:tblLayout w:type="fixed"/>
        <w:tblCellMar>
          <w:top w:w="28" w:type="dxa"/>
          <w:left w:w="28" w:type="dxa"/>
          <w:bottom w:w="28" w:type="dxa"/>
          <w:right w:w="28" w:type="dxa"/>
        </w:tblCellMar>
      </w:tblPr>
      <w:tblGrid>
        <w:gridCol w:w="2878"/>
        <w:gridCol w:w="2534"/>
        <w:gridCol w:w="2538"/>
        <w:gridCol w:w="149"/>
        <w:gridCol w:w="149"/>
        <w:gridCol w:w="213"/>
      </w:tblGrid>
      <w:tr>
        <w:trPr/>
        <w:tc>
          <w:tcPr>
            <w:tcW w:w="28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Part I: FINANCIAL INFORMATION</w:t>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0">
              <w:r>
                <w:rPr>
                  <w:rStyle w:val="InternetLink"/>
                  <w:rFonts w:ascii="Times New Roman;serif" w:hAnsi="Times New Roman;serif"/>
                  <w:b w:val="false"/>
                  <w:color w:val="000000"/>
                  <w:sz w:val="20"/>
                  <w:u w:val="single"/>
                </w:rPr>
                <w:t>Item 1.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3">
              <w:r>
                <w:rPr>
                  <w:rStyle w:val="InternetLink"/>
                  <w:rFonts w:ascii="Times New Roman;serif" w:hAnsi="Times New Roman;serif"/>
                  <w:b w:val="false"/>
                  <w:color w:val="000000"/>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3">
              <w:r>
                <w:rPr>
                  <w:rStyle w:val="InternetLink"/>
                  <w:rFonts w:ascii="Times New Roman;serif" w:hAnsi="Times New Roman;serif"/>
                  <w:b w:val="false"/>
                  <w:color w:val="000000"/>
                  <w:sz w:val="20"/>
                  <w:u w:val="single"/>
                </w:rPr>
                <w:t>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6">
              <w:r>
                <w:rPr>
                  <w:rStyle w:val="InternetLink"/>
                  <w:rFonts w:ascii="Times New Roman;serif" w:hAnsi="Times New Roman;serif"/>
                  <w:b w:val="false"/>
                  <w:color w:val="000000"/>
                  <w:sz w:val="20"/>
                  <w:u w:val="single"/>
                </w:rPr>
                <w:t>Condensed Consolidated Statements of Earnings (Loss)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6">
              <w:r>
                <w:rPr>
                  <w:rStyle w:val="InternetLink"/>
                  <w:rFonts w:ascii="Times New Roman;serif" w:hAnsi="Times New Roman;serif"/>
                  <w:b w:val="false"/>
                  <w:color w:val="000000"/>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9">
              <w:r>
                <w:rPr>
                  <w:rStyle w:val="InternetLink"/>
                  <w:rFonts w:ascii="Times New Roman;serif" w:hAnsi="Times New Roman;serif"/>
                  <w:b w:val="false"/>
                  <w:color w:val="000000"/>
                  <w:sz w:val="20"/>
                  <w:u w:val="single"/>
                </w:rPr>
                <w:t>Condensed Consolidated Statements of Comprehensive Earnings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9">
              <w:r>
                <w:rPr>
                  <w:rStyle w:val="InternetLink"/>
                  <w:rFonts w:ascii="Times New Roman;serif" w:hAnsi="Times New Roman;serif"/>
                  <w:b w:val="false"/>
                  <w:color w:val="000000"/>
                  <w:sz w:val="20"/>
                  <w:u w:val="singl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22">
              <w:r>
                <w:rPr>
                  <w:rStyle w:val="InternetLink"/>
                  <w:rFonts w:ascii="Times New Roman;serif" w:hAnsi="Times New Roman;serif"/>
                  <w:b w:val="false"/>
                  <w:color w:val="000000"/>
                  <w:sz w:val="20"/>
                  <w:u w:val="single"/>
                </w:rPr>
                <w:t>Condensed Consolidated Statements of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22">
              <w:r>
                <w:rPr>
                  <w:rStyle w:val="InternetLink"/>
                  <w:rFonts w:ascii="Times New Roman;serif" w:hAnsi="Times New Roman;serif"/>
                  <w:b w:val="false"/>
                  <w:color w:val="000000"/>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28">
              <w:r>
                <w:rPr>
                  <w:rStyle w:val="InternetLink"/>
                  <w:rFonts w:ascii="Times New Roman;serif" w:hAnsi="Times New Roman;serif"/>
                  <w:b w:val="false"/>
                  <w:color w:val="000000"/>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28">
              <w:r>
                <w:rPr>
                  <w:rStyle w:val="InternetLink"/>
                  <w:rFonts w:ascii="Times New Roman;serif" w:hAnsi="Times New Roman;serif"/>
                  <w:b w:val="false"/>
                  <w:color w:val="000000"/>
                  <w:sz w:val="20"/>
                  <w:u w:val="single"/>
                </w:rPr>
                <w:t>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31">
              <w:r>
                <w:rPr>
                  <w:rStyle w:val="InternetLink"/>
                  <w:rFonts w:ascii="Times New Roman;serif" w:hAnsi="Times New Roman;serif"/>
                  <w:b w:val="false"/>
                  <w:color w:val="000000"/>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31">
              <w:r>
                <w:rPr>
                  <w:rStyle w:val="InternetLink"/>
                  <w:rFonts w:ascii="Times New Roman;serif" w:hAnsi="Times New Roman;serif"/>
                  <w:b w:val="false"/>
                  <w:color w:val="000000"/>
                  <w:sz w:val="20"/>
                  <w:u w:val="singl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91">
              <w:r>
                <w:rPr>
                  <w:rStyle w:val="InternetLink"/>
                  <w:rFonts w:ascii="Times New Roman;serif" w:hAnsi="Times New Roman;serif"/>
                  <w:b w:val="false"/>
                  <w:color w:val="000000"/>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91">
              <w:r>
                <w:rPr>
                  <w:rStyle w:val="InternetLink"/>
                  <w:rFonts w:ascii="Times New Roman;serif" w:hAnsi="Times New Roman;serif"/>
                  <w:b w:val="false"/>
                  <w:color w:val="000000"/>
                  <w:sz w:val="20"/>
                  <w:u w:val="single"/>
                </w:rPr>
                <w:t>32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15">
              <w:r>
                <w:rPr>
                  <w:rStyle w:val="InternetLink"/>
                  <w:rFonts w:ascii="Times New Roman;serif" w:hAnsi="Times New Roman;serif"/>
                  <w:b w:val="false"/>
                  <w:color w:val="000080"/>
                  <w:sz w:val="20"/>
                  <w:u w:val="single"/>
                </w:rPr>
                <w:t>Item 3. Quantitative and Qualitative Disclosure</w:t>
              </w:r>
            </w:hyperlink>
            <w:hyperlink w:anchor="i6dec72cbaa4348f6a20a6b05b9d250c9_115">
              <w:r>
                <w:rPr>
                  <w:rStyle w:val="InternetLink"/>
                  <w:rFonts w:ascii="Times New Roman;serif" w:hAnsi="Times New Roman;serif"/>
                  <w:b w:val="false"/>
                  <w:color w:val="000080"/>
                  <w:sz w:val="20"/>
                  <w:u w:val="single"/>
                </w:rPr>
                <w:t>s</w:t>
              </w:r>
            </w:hyperlink>
            <w:hyperlink w:anchor="i6dec72cbaa4348f6a20a6b05b9d250c9_115">
              <w:r>
                <w:rPr>
                  <w:rStyle w:val="InternetLink"/>
                  <w:rFonts w:ascii="Times New Roman;serif" w:hAnsi="Times New Roman;serif"/>
                  <w:b w:val="false"/>
                  <w:color w:val="000080"/>
                  <w:sz w:val="20"/>
                  <w:u w:val="single"/>
                </w:rPr>
                <w:t xml:space="preserve">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15">
              <w:r>
                <w:rPr>
                  <w:rStyle w:val="InternetLink"/>
                  <w:rFonts w:ascii="Times New Roman;serif" w:hAnsi="Times New Roman;serif"/>
                  <w:b w:val="false"/>
                  <w:color w:val="000000"/>
                  <w:sz w:val="20"/>
                  <w:u w:val="single"/>
                </w:rPr>
                <w:t>42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18">
              <w:r>
                <w:rPr>
                  <w:rStyle w:val="InternetLink"/>
                  <w:rFonts w:ascii="Times New Roman;serif" w:hAnsi="Times New Roman;serif"/>
                  <w:b w:val="false"/>
                  <w:color w:val="000000"/>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18">
              <w:r>
                <w:rPr>
                  <w:rStyle w:val="InternetLink"/>
                  <w:rFonts w:ascii="Times New Roman;serif" w:hAnsi="Times New Roman;serif"/>
                  <w:b w:val="false"/>
                  <w:color w:val="000000"/>
                  <w:sz w:val="20"/>
                  <w:u w:val="single"/>
                </w:rPr>
                <w:t>43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21">
              <w:r>
                <w:rPr>
                  <w:rStyle w:val="InternetLink"/>
                  <w:rFonts w:ascii="Times New Roman;serif" w:hAnsi="Times New Roman;serif"/>
                  <w:b w:val="false"/>
                  <w:color w:val="000000"/>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24">
              <w:r>
                <w:rPr>
                  <w:rStyle w:val="InternetLink"/>
                  <w:rFonts w:ascii="Times New Roman;serif" w:hAnsi="Times New Roman;serif"/>
                  <w:b w:val="false"/>
                  <w:color w:val="000000"/>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24">
              <w:r>
                <w:rPr>
                  <w:rStyle w:val="InternetLink"/>
                  <w:rFonts w:ascii="Times New Roman;serif" w:hAnsi="Times New Roman;serif"/>
                  <w:b w:val="false"/>
                  <w:color w:val="000000"/>
                  <w:sz w:val="20"/>
                  <w:u w:val="single"/>
                </w:rPr>
                <w:t>44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a4f1561ea74b76b304610042c3f5a0_916">
              <w:r>
                <w:rPr>
                  <w:rStyle w:val="InternetLink"/>
                  <w:rFonts w:ascii="Times New Roman;serif" w:hAnsi="Times New Roman;serif"/>
                  <w:b w:val="false"/>
                  <w:color w:val="000000"/>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27">
              <w:r>
                <w:rPr>
                  <w:rStyle w:val="InternetLink"/>
                  <w:rFonts w:ascii="Times New Roman;serif" w:hAnsi="Times New Roman;serif"/>
                  <w:b w:val="false"/>
                  <w:color w:val="000000"/>
                  <w:sz w:val="20"/>
                  <w:u w:val="single"/>
                </w:rPr>
                <w:t>44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30">
              <w:r>
                <w:rPr>
                  <w:rStyle w:val="InternetLink"/>
                  <w:rFonts w:ascii="Times New Roman;serif" w:hAnsi="Times New Roman;serif"/>
                  <w:b w:val="false"/>
                  <w:color w:val="000000"/>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30">
              <w:r>
                <w:rPr>
                  <w:rStyle w:val="InternetLink"/>
                  <w:rFonts w:ascii="Times New Roman;serif" w:hAnsi="Times New Roman;serif"/>
                  <w:b w:val="false"/>
                  <w:color w:val="000000"/>
                  <w:sz w:val="20"/>
                  <w:u w:val="single"/>
                </w:rPr>
                <w:t>44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36">
              <w:r>
                <w:rPr>
                  <w:rStyle w:val="InternetLink"/>
                  <w:rFonts w:ascii="Times New Roman;serif" w:hAnsi="Times New Roman;serif"/>
                  <w:b w:val="false"/>
                  <w:color w:val="000000"/>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45</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ec72cbaa4348f6a20a6b05b9d250c9_139">
              <w:r>
                <w:rPr>
                  <w:rStyle w:val="InternetLink"/>
                  <w:rFonts w:ascii="Times New Roman;serif" w:hAnsi="Times New Roman;serif"/>
                  <w:b w:val="false"/>
                  <w:color w:val="000000"/>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ec72cbaa4348f6a20a6b05b9d250c9_139">
              <w:r>
                <w:rPr>
                  <w:rStyle w:val="InternetLink"/>
                  <w:rFonts w:ascii="Times New Roman;serif" w:hAnsi="Times New Roman;serif"/>
                  <w:b w:val="false"/>
                  <w:color w:val="000000"/>
                  <w:sz w:val="20"/>
                  <w:u w:val="single"/>
                </w:rPr>
                <w:t>46</w:t>
              </w:r>
            </w:hyperlink>
          </w:p>
        </w:tc>
      </w:tr>
    </w:tbl>
    <w:p>
      <w:pPr>
        <w:pStyle w:val="TextBody"/>
        <w:bidi w:val="0"/>
        <w:spacing w:before="360" w:after="283"/>
        <w:jc w:val="center"/>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63"/>
        <w:gridCol w:w="2321"/>
        <w:gridCol w:w="2329"/>
        <w:gridCol w:w="221"/>
        <w:gridCol w:w="730"/>
        <w:gridCol w:w="123"/>
        <w:gridCol w:w="109"/>
        <w:gridCol w:w="109"/>
        <w:gridCol w:w="109"/>
        <w:gridCol w:w="273"/>
        <w:gridCol w:w="900"/>
        <w:gridCol w:w="218"/>
      </w:tblGrid>
      <w:tr>
        <w:trPr/>
        <w:tc>
          <w:tcPr>
            <w:tcW w:w="276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Trade receivables, net of allowance for credit losses of $29 and $24, respectively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related party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33,488 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c>
          <w:tcPr>
            <w:tcW w:w="107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and other liabilities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payables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7,616 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excluding current portion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28,065 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19,586 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 stockholders' equity:</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200 shares authorized, none issued and outstanding as of June 30, 2026, and December 31, 2025</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750 shares authorized, 640 and 636 shares issued as of June 30, 2026, and December 31, 2025, respectively</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 retained earnings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earnings (loss)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$0.01 par value, 124 and 122 common shares as of June 30, 2026, and December 31, 2025, respectively, at cost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FIS stockholders' equity</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13,899 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13,902 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33,488 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See accompanying notes, which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79"/>
        <w:gridCol w:w="1720"/>
        <w:gridCol w:w="1653"/>
        <w:gridCol w:w="208"/>
        <w:gridCol w:w="592"/>
        <w:gridCol w:w="115"/>
        <w:gridCol w:w="115"/>
        <w:gridCol w:w="115"/>
        <w:gridCol w:w="115"/>
        <w:gridCol w:w="208"/>
        <w:gridCol w:w="592"/>
        <w:gridCol w:w="115"/>
        <w:gridCol w:w="109"/>
        <w:gridCol w:w="109"/>
        <w:gridCol w:w="109"/>
        <w:gridCol w:w="200"/>
        <w:gridCol w:w="569"/>
        <w:gridCol w:w="111"/>
        <w:gridCol w:w="111"/>
        <w:gridCol w:w="111"/>
        <w:gridCol w:w="111"/>
        <w:gridCol w:w="200"/>
        <w:gridCol w:w="569"/>
        <w:gridCol w:w="169"/>
      </w:tblGrid>
      <w:tr>
        <w:trPr/>
        <w:tc>
          <w:tcPr>
            <w:tcW w:w="217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 net (including related-party transactions of $28 and $56 for the three- and six-month periods ended June 30, 2025, respectively)</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before income taxes and equity method investment earnings (loss)</w:t>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earnings (loss), net of tax</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noncontrolling interest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FIS</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share-basic attributable to FIS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outstanding-basic</w:t>
            </w:r>
          </w:p>
        </w:tc>
        <w:tc>
          <w:tcPr>
            <w:tcW w:w="8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share-diluted attributable to FIS</w:t>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16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outstanding-diluted</w:t>
            </w:r>
          </w:p>
        </w:tc>
        <w:tc>
          <w:tcPr>
            <w:tcW w:w="80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in table may not sum or calculate due to rounding.</w:t>
      </w:r>
    </w:p>
    <w:p>
      <w:pPr>
        <w:pStyle w:val="TextBody"/>
        <w:bidi w:val="0"/>
        <w:spacing w:lineRule="auto" w:line="288" w:before="120" w:after="283"/>
        <w:jc w:val="left"/>
        <w:rPr/>
      </w:pPr>
      <w:r>
        <w:rPr>
          <w:rFonts w:ascii="Times New Roman;serif" w:hAnsi="Times New Roman;serif"/>
          <w:b w:val="false"/>
          <w:color w:val="000000"/>
          <w:sz w:val="20"/>
        </w:rPr>
        <w:t>See accompanying notes, which are an integral part of these unaudited condensed consolidated financial statements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16"/>
        <w:gridCol w:w="1817"/>
        <w:gridCol w:w="1740"/>
        <w:gridCol w:w="225"/>
        <w:gridCol w:w="483"/>
        <w:gridCol w:w="125"/>
        <w:gridCol w:w="125"/>
        <w:gridCol w:w="125"/>
        <w:gridCol w:w="125"/>
        <w:gridCol w:w="225"/>
        <w:gridCol w:w="541"/>
        <w:gridCol w:w="125"/>
        <w:gridCol w:w="109"/>
        <w:gridCol w:w="109"/>
        <w:gridCol w:w="109"/>
        <w:gridCol w:w="205"/>
        <w:gridCol w:w="582"/>
        <w:gridCol w:w="114"/>
        <w:gridCol w:w="114"/>
        <w:gridCol w:w="114"/>
        <w:gridCol w:w="114"/>
        <w:gridCol w:w="205"/>
        <w:gridCol w:w="490"/>
        <w:gridCol w:w="168"/>
      </w:tblGrid>
      <w:tr>
        <w:trPr/>
        <w:tc>
          <w:tcPr>
            <w:tcW w:w="2116"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(loss), before tax:</w:t>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net investment hedges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cash flow hedges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components of fair value hedges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equity method investment other comprehensive earnings (loss)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to net earnings (loss) of accumulated other comprehensive earnings (loss) related to equity method investment upon sale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(loss), before tax</w:t>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 related to items of other comprehensive earnings (loss)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(loss), net of tax</w:t>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earnings (loss)</w:t>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noncontrolling interest</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earnings (loss) attributable to FIS</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See accompanying notes, which are an integral part of these unaudited condensed consolidated financial statements.</w:t>
      </w:r>
    </w:p>
    <w:p>
      <w:pPr>
        <w:pStyle w:val="TextBody"/>
        <w:bidi w:val="0"/>
        <w:spacing w:before="0" w:after="0"/>
        <w:jc w:val="left"/>
        <w:rPr/>
      </w:pPr>
      <w:r>
        <w:rPr/>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941" w:type="dxa"/>
        <w:jc w:val="center"/>
        <w:tblInd w:w="0" w:type="dxa"/>
        <w:tblLayout w:type="fixed"/>
        <w:tblCellMar>
          <w:top w:w="28" w:type="dxa"/>
          <w:left w:w="28" w:type="dxa"/>
          <w:bottom w:w="28" w:type="dxa"/>
          <w:right w:w="28" w:type="dxa"/>
        </w:tblCellMar>
      </w:tblPr>
      <w:tblGrid>
        <w:gridCol w:w="569"/>
        <w:gridCol w:w="210"/>
        <w:gridCol w:w="212"/>
        <w:gridCol w:w="210"/>
        <w:gridCol w:w="210"/>
        <w:gridCol w:w="211"/>
        <w:gridCol w:w="109"/>
        <w:gridCol w:w="109"/>
        <w:gridCol w:w="109"/>
        <w:gridCol w:w="220"/>
        <w:gridCol w:w="220"/>
        <w:gridCol w:w="221"/>
        <w:gridCol w:w="109"/>
        <w:gridCol w:w="109"/>
        <w:gridCol w:w="109"/>
        <w:gridCol w:w="227"/>
        <w:gridCol w:w="265"/>
        <w:gridCol w:w="139"/>
        <w:gridCol w:w="109"/>
        <w:gridCol w:w="109"/>
        <w:gridCol w:w="109"/>
        <w:gridCol w:w="181"/>
        <w:gridCol w:w="541"/>
        <w:gridCol w:w="109"/>
        <w:gridCol w:w="109"/>
        <w:gridCol w:w="109"/>
        <w:gridCol w:w="109"/>
        <w:gridCol w:w="181"/>
        <w:gridCol w:w="556"/>
        <w:gridCol w:w="109"/>
        <w:gridCol w:w="109"/>
        <w:gridCol w:w="109"/>
        <w:gridCol w:w="109"/>
        <w:gridCol w:w="268"/>
        <w:gridCol w:w="558"/>
        <w:gridCol w:w="165"/>
        <w:gridCol w:w="109"/>
        <w:gridCol w:w="109"/>
        <w:gridCol w:w="109"/>
        <w:gridCol w:w="181"/>
        <w:gridCol w:w="556"/>
        <w:gridCol w:w="109"/>
        <w:gridCol w:w="109"/>
        <w:gridCol w:w="109"/>
        <w:gridCol w:w="109"/>
        <w:gridCol w:w="368"/>
        <w:gridCol w:w="430"/>
        <w:gridCol w:w="223"/>
        <w:gridCol w:w="109"/>
        <w:gridCol w:w="109"/>
        <w:gridCol w:w="109"/>
        <w:gridCol w:w="181"/>
        <w:gridCol w:w="541"/>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March 31, 2026</w:t>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shares held for taxes due upon exercise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dividends declared ($0.44 per share per quarter) and other distributions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June 30, 2026</w:t>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941" w:type="dxa"/>
        <w:jc w:val="left"/>
        <w:tblInd w:w="0" w:type="dxa"/>
        <w:tblLayout w:type="fixed"/>
        <w:tblCellMar>
          <w:top w:w="28" w:type="dxa"/>
          <w:left w:w="28" w:type="dxa"/>
          <w:bottom w:w="28" w:type="dxa"/>
          <w:right w:w="28" w:type="dxa"/>
        </w:tblCellMar>
      </w:tblPr>
      <w:tblGrid>
        <w:gridCol w:w="569"/>
        <w:gridCol w:w="210"/>
        <w:gridCol w:w="212"/>
        <w:gridCol w:w="210"/>
        <w:gridCol w:w="210"/>
        <w:gridCol w:w="211"/>
        <w:gridCol w:w="109"/>
        <w:gridCol w:w="109"/>
        <w:gridCol w:w="109"/>
        <w:gridCol w:w="220"/>
        <w:gridCol w:w="220"/>
        <w:gridCol w:w="221"/>
        <w:gridCol w:w="109"/>
        <w:gridCol w:w="109"/>
        <w:gridCol w:w="109"/>
        <w:gridCol w:w="227"/>
        <w:gridCol w:w="265"/>
        <w:gridCol w:w="139"/>
        <w:gridCol w:w="109"/>
        <w:gridCol w:w="109"/>
        <w:gridCol w:w="109"/>
        <w:gridCol w:w="181"/>
        <w:gridCol w:w="541"/>
        <w:gridCol w:w="109"/>
        <w:gridCol w:w="109"/>
        <w:gridCol w:w="109"/>
        <w:gridCol w:w="109"/>
        <w:gridCol w:w="181"/>
        <w:gridCol w:w="556"/>
        <w:gridCol w:w="109"/>
        <w:gridCol w:w="109"/>
        <w:gridCol w:w="109"/>
        <w:gridCol w:w="109"/>
        <w:gridCol w:w="268"/>
        <w:gridCol w:w="558"/>
        <w:gridCol w:w="165"/>
        <w:gridCol w:w="109"/>
        <w:gridCol w:w="109"/>
        <w:gridCol w:w="109"/>
        <w:gridCol w:w="181"/>
        <w:gridCol w:w="556"/>
        <w:gridCol w:w="109"/>
        <w:gridCol w:w="109"/>
        <w:gridCol w:w="109"/>
        <w:gridCol w:w="109"/>
        <w:gridCol w:w="368"/>
        <w:gridCol w:w="430"/>
        <w:gridCol w:w="223"/>
        <w:gridCol w:w="109"/>
        <w:gridCol w:w="109"/>
        <w:gridCol w:w="109"/>
        <w:gridCol w:w="181"/>
        <w:gridCol w:w="541"/>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December 31, 2025</w:t>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shares held for taxes due upon exercise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dividends declared ($0.44 per share per quarter) and other distributions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June 30, 2026</w:t>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See accompanying notes, which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866" w:type="dxa"/>
        <w:jc w:val="left"/>
        <w:tblInd w:w="0" w:type="dxa"/>
        <w:tblLayout w:type="fixed"/>
        <w:tblCellMar>
          <w:top w:w="28" w:type="dxa"/>
          <w:left w:w="28" w:type="dxa"/>
          <w:bottom w:w="28" w:type="dxa"/>
          <w:right w:w="28" w:type="dxa"/>
        </w:tblCellMar>
      </w:tblPr>
      <w:tblGrid>
        <w:gridCol w:w="569"/>
        <w:gridCol w:w="210"/>
        <w:gridCol w:w="212"/>
        <w:gridCol w:w="210"/>
        <w:gridCol w:w="210"/>
        <w:gridCol w:w="211"/>
        <w:gridCol w:w="109"/>
        <w:gridCol w:w="109"/>
        <w:gridCol w:w="109"/>
        <w:gridCol w:w="220"/>
        <w:gridCol w:w="220"/>
        <w:gridCol w:w="221"/>
        <w:gridCol w:w="109"/>
        <w:gridCol w:w="109"/>
        <w:gridCol w:w="109"/>
        <w:gridCol w:w="227"/>
        <w:gridCol w:w="265"/>
        <w:gridCol w:w="139"/>
        <w:gridCol w:w="109"/>
        <w:gridCol w:w="109"/>
        <w:gridCol w:w="109"/>
        <w:gridCol w:w="181"/>
        <w:gridCol w:w="541"/>
        <w:gridCol w:w="109"/>
        <w:gridCol w:w="109"/>
        <w:gridCol w:w="109"/>
        <w:gridCol w:w="109"/>
        <w:gridCol w:w="181"/>
        <w:gridCol w:w="556"/>
        <w:gridCol w:w="109"/>
        <w:gridCol w:w="109"/>
        <w:gridCol w:w="109"/>
        <w:gridCol w:w="109"/>
        <w:gridCol w:w="268"/>
        <w:gridCol w:w="558"/>
        <w:gridCol w:w="165"/>
        <w:gridCol w:w="109"/>
        <w:gridCol w:w="109"/>
        <w:gridCol w:w="109"/>
        <w:gridCol w:w="181"/>
        <w:gridCol w:w="481"/>
        <w:gridCol w:w="109"/>
        <w:gridCol w:w="109"/>
        <w:gridCol w:w="109"/>
        <w:gridCol w:w="109"/>
        <w:gridCol w:w="368"/>
        <w:gridCol w:w="430"/>
        <w:gridCol w:w="223"/>
        <w:gridCol w:w="109"/>
        <w:gridCol w:w="109"/>
        <w:gridCol w:w="109"/>
        <w:gridCol w:w="181"/>
        <w:gridCol w:w="541"/>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March 31, 2025</w:t>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shares held for taxes due upon exercise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dividends declared ($0.40 per share per quarter) and other distributions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June 30, 2025</w:t>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866" w:type="dxa"/>
        <w:jc w:val="left"/>
        <w:tblInd w:w="0" w:type="dxa"/>
        <w:tblLayout w:type="fixed"/>
        <w:tblCellMar>
          <w:top w:w="28" w:type="dxa"/>
          <w:left w:w="28" w:type="dxa"/>
          <w:bottom w:w="28" w:type="dxa"/>
          <w:right w:w="28" w:type="dxa"/>
        </w:tblCellMar>
      </w:tblPr>
      <w:tblGrid>
        <w:gridCol w:w="569"/>
        <w:gridCol w:w="210"/>
        <w:gridCol w:w="212"/>
        <w:gridCol w:w="210"/>
        <w:gridCol w:w="210"/>
        <w:gridCol w:w="211"/>
        <w:gridCol w:w="109"/>
        <w:gridCol w:w="109"/>
        <w:gridCol w:w="109"/>
        <w:gridCol w:w="220"/>
        <w:gridCol w:w="220"/>
        <w:gridCol w:w="221"/>
        <w:gridCol w:w="109"/>
        <w:gridCol w:w="109"/>
        <w:gridCol w:w="109"/>
        <w:gridCol w:w="227"/>
        <w:gridCol w:w="265"/>
        <w:gridCol w:w="139"/>
        <w:gridCol w:w="109"/>
        <w:gridCol w:w="109"/>
        <w:gridCol w:w="109"/>
        <w:gridCol w:w="181"/>
        <w:gridCol w:w="541"/>
        <w:gridCol w:w="109"/>
        <w:gridCol w:w="109"/>
        <w:gridCol w:w="109"/>
        <w:gridCol w:w="109"/>
        <w:gridCol w:w="181"/>
        <w:gridCol w:w="556"/>
        <w:gridCol w:w="109"/>
        <w:gridCol w:w="109"/>
        <w:gridCol w:w="109"/>
        <w:gridCol w:w="109"/>
        <w:gridCol w:w="268"/>
        <w:gridCol w:w="558"/>
        <w:gridCol w:w="165"/>
        <w:gridCol w:w="109"/>
        <w:gridCol w:w="109"/>
        <w:gridCol w:w="109"/>
        <w:gridCol w:w="181"/>
        <w:gridCol w:w="481"/>
        <w:gridCol w:w="109"/>
        <w:gridCol w:w="109"/>
        <w:gridCol w:w="109"/>
        <w:gridCol w:w="109"/>
        <w:gridCol w:w="368"/>
        <w:gridCol w:w="430"/>
        <w:gridCol w:w="223"/>
        <w:gridCol w:w="109"/>
        <w:gridCol w:w="109"/>
        <w:gridCol w:w="109"/>
        <w:gridCol w:w="181"/>
        <w:gridCol w:w="541"/>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December 31, 2024</w:t>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treasury stock</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shares held for taxes due upon exercise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dividends declared ($0.40 per share per quarter) and other distributions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June 30, 2025</w:t>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See accompanying notes, which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 (In millions)</w:t>
      </w:r>
    </w:p>
    <w:tbl>
      <w:tblPr>
        <w:tblW w:w="8396" w:type="dxa"/>
        <w:jc w:val="center"/>
        <w:tblInd w:w="0" w:type="dxa"/>
        <w:tblLayout w:type="fixed"/>
        <w:tblCellMar>
          <w:top w:w="28" w:type="dxa"/>
          <w:left w:w="28" w:type="dxa"/>
          <w:bottom w:w="28" w:type="dxa"/>
          <w:right w:w="28" w:type="dxa"/>
        </w:tblCellMar>
      </w:tblPr>
      <w:tblGrid>
        <w:gridCol w:w="2286"/>
        <w:gridCol w:w="2011"/>
        <w:gridCol w:w="2018"/>
        <w:gridCol w:w="199"/>
        <w:gridCol w:w="566"/>
        <w:gridCol w:w="110"/>
        <w:gridCol w:w="110"/>
        <w:gridCol w:w="110"/>
        <w:gridCol w:w="110"/>
        <w:gridCol w:w="203"/>
        <w:gridCol w:w="517"/>
        <w:gridCol w:w="156"/>
      </w:tblGrid>
      <w:tr>
        <w:trPr/>
        <w:tc>
          <w:tcPr>
            <w:tcW w:w="22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reconcile net earnings (loss) to net cash provided by operating activities: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of businesses, investments and 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from equity method investment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changes in assets and liabilities, net of effects from acquisitions and foreign currency:</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related party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activity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software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divested from sale of business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Coupon payments on interest rate swaps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method investments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borrowings and other financing arrangements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activity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stock issued under stock-based compensation plans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discontinued operations (1)</w:t>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currency exchange rate changes on cash</w:t>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87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accompanying notes, which are an integral part of these unaudited condensed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As discussed in Note 1, the Company completed the 2024 Worldpay Sale on January 31, 2024. Certain assets included as part of the 2024 Worldpay Sale did not convey until the first quarter of 2025 after receiving all required regulatory approvals. These assets generated cash flows from discontinued operations but did not generate any net earnings from discontinued operations during the three or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Unless stated otherwise or the context otherwise requires, all references to "FIS," "we," "our," "us," the "Company" or the "registrant" are to Fidelity National Information Services, Inc., a Georgia corporation, and its subsidiaries.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financial information included in this report includes the accounts of FIS and its subsidiaries and has been prepared in accordance with U.S. generally accepted accounting principles and the instructions to Form 10-Q and Article 10 of Regulation S-X. All adjustments considered necessary for a fair presentation have been included. This report should be read in conjunction with the Company's Annual Report on Form 10-K for the year ended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conformity with United States ("U.S.") generally accepted accounting principles ("GAAP") and the related rules and regulations of the U.S. Securities and Exchange Commission ("SEC" or "Commission") requires our management to make estimates, judgments and assumptions that affect the reported amounts of assets, liabilities, revenue and expenses, and the related disclosure of contingent assets and liabilities. The inputs into management's critical and significant accounting estimates consider the economic impact of inflation and economic growth rates. These estimates may change as new events occur and additional information is obtained. Future actual results could differ materially from these estimates. To the extent that there are differences between these estimates, judgments and assumptions and actual results, our consolidated financial statements will be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31, 2024, the Company completed the sale ("the 2024 Worldpay Sale") of a 55% equity interest in its Worldpay Merchant Solutions business to private equity funds managed by GTCR, LLC (such funds, the "Buyer"). FIS retained a non-controlling 45% equity interest in a new standalone joint venture, Worldpay Holdco, LLC ("Worldpay"), following the closing of the 2024 Worldpay Sale. FIS' share of the net income (loss) of Worldpay was reported as Equity method investment earnings (loss), net of tax, in the consolidated statements of earnings (loss). See Note 2 for further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9, 2026, FIS completed its previously announced (i) acquisition of the Issuer Solutions business (the "Issuer Solutions Business") from Global Payments Inc. ("Global Payments") (the "Issuer Solutions Acquisition") and (ii) sale of all of its equity interests in Worldpay (the "2026 Worldpay Minority Interest Sale"), pursuant to the transaction agreement (the "Transaction Agreement"), entered into on April 17, 2025, by and among FIS, Global Payments, Total System Services LLC, and Worldpay.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acquired the Issuer Solutions Business from Global Payments in exchange for FIS' minority interest in Worldpay and approximately $7.7 billion in cash, which is equal to the difference between the purchase price payable by FIS in respect of the Issuer Solutions Business and the purchase price payable by Global Payments in respect of FIS' minority interest in Worldpay. The cash payment amount is subject to customary post-closing adjustments in respect of the respective purchase price for each of Worldpay and the Issuer Solutions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price paid by Global Payments in respect of Worldpay was based on a $24.25 billion enterprise valuation of Worldpay, and the purchase price paid by FIS in respect of the Issuer Solutions Business was based on a $13.5 billion enterprise valuation of the Issuer Solutions Business, in each case, subject to customary adjustments for the cash, debt and working capital (relative to a target) of Worldpay and the Issuer Solutions Business, respectively, as of the closing of the transactions. We funded the Issuer Solutions Acquisition through a combination of approximately $7.7 billion of new debt and the 2026 Worldpay Minority Interest Sale.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continued to account for our non-controlling 45% equity interest in Worldpay using the equity method of accounting through the closing date of the 2026 Worldpay Minority Interest Sale. Upon closing, we recorded a preliminary estimated pre-tax gain of $2.2 billion based on the excess of the net selling price over the carrying value of the Worldpay equity method investment as of the date of closing, adjusted for the impact of our share of Worldpay's cumulative translation adjustments recorded in accumulated other comprehensive earnings (loss). The estimated gain remains subject to change based on the resolution of post-closing purchase price adjustments, and the final gain could differ materially from the current estimate.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upon the closing of the Issuer Solutions Acquisition, we entered into an agreement with Global Payments providing for transition services (the "Global Payments TSA") and reverse transition services (the "Global Payments rTSA"). Under the Global Payments TSA, Global Payments provides certain technology, finance, human resources, and other support services to us. Under the Global Payments rTSA, we provide certain technology and operational support services to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Payments. The agreement extends for up to 24 months from the effective date, and individual services are terminable earlier or extendable by mutual agreement. Charges are based on actual costs plus applicable fees and out-of-pocket expenses. We do not expect this agreement to have a material impact on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Company's acquisition of the Issuer Solutions Business, the Company reassessed its reportable segments and included the Issuer Solutions Business within the Banking Solutions segment. In connection with this reassessment, the Company also reclassified certain businesses among the Banking Solutions, Capital Market Solutions, and Corporate and Other segments. All prior</w:t>
        <w:noBreakHyphen/>
        <w:t>period segment information was recast to conform to the Company's revised reportable segment presentation. See Note 11 for more information regarding our segments.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reclassifications were made in the 2025 consolidated financial statements to conform to the 2026 presentation. Specifically, acquisition, integration and other costs presented in Note 11, "Segment Information," were reclassified into updated categories, and prior-year comparative amounts were reclassified to conform to current-period presentation.</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tables in the financial statements and accompanying footnotes may not sum or calculate due to rounding.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Adopted Accounting Guidance</w:t>
      </w:r>
    </w:p>
    <w:p>
      <w:pPr>
        <w:pStyle w:val="TextBody"/>
        <w:bidi w:val="0"/>
        <w:spacing w:lineRule="auto" w:line="26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recently adopted accounting pronouncements had a material impact on our consolidated financial statements or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Guidance Not Yet Adopted</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assessment of recently issued accounting pronouncements from that disclosed in the Company's Annual Report on Form 10</w:t>
        <w:noBreakHyphen/>
        <w:t xml:space="preserve">K for the year ended December 31, 2025.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In May 2026, the FASB issued ASU 2026-02, </w:t>
      </w:r>
      <w:r>
        <w:rPr>
          <w:rFonts w:ascii="Times New Roman;serif" w:hAnsi="Times New Roman;serif"/>
          <w:b w:val="false"/>
          <w:i/>
          <w:color w:val="000000"/>
          <w:sz w:val="20"/>
        </w:rPr>
        <w:t>Environmental Credits and Environmental Credit Obligations (Topic 818)</w:t>
      </w:r>
      <w:r>
        <w:rPr>
          <w:rFonts w:ascii="Times New Roman;serif" w:hAnsi="Times New Roman;serif"/>
          <w:b w:val="false"/>
          <w:color w:val="000000"/>
          <w:sz w:val="20"/>
        </w:rPr>
        <w:t>. The ASU improves the financial accounting for and disclosure of environmental credits and environmental credit obligations by establishing a comprehensive framework for entities that generate, purchase, or receive environmental credits. This guidance is effective for annual periods beginning after December 15, 2027, including interim periods within those fiscal years, with early adoption permitted. The amendments are required to be applied using a modified retrospective approach through a cumulative-effect adjustment to beginning retained earnings, if applicable. The Company is currently evaluating the impact of this ASU on its consolidated financial statements and related disclosures.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(2)    Equity Method Investment</w:t>
      </w:r>
    </w:p>
    <w:p>
      <w:pPr>
        <w:pStyle w:val="TextBody"/>
        <w:bidi w:val="0"/>
        <w:spacing w:before="0" w:after="0"/>
        <w:ind w:left="0" w:right="0" w:hanging="54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the Company completed the 2024 Worldpay Sale on January 31, 2024, retaining a non-controlling equity interest in Worldpay. We accounted for our 45% minority ownership in Worldpay using the equity method of accounting. Beginning on February 1, 2024, the Company's share of the net income of Worldpay and our investor-level tax impact is reported as Equity method investment earnings (loss), net of tax, in the consolidated statements of earnings (loss). We received distributions from Worldpay of $0 million and $22 million during the three months, and $32 million and $66 million during the six months, ended June 30, 2026 and 2025, respectively, which are recorded in Distributions from equity method investments in the consolidated statements of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also discussed in Note 1, on January 9, 2026, FIS completed its previously announced sale of its remaining equity interests in Worldpay for a pre-tax amount of $5.8 billion, net of transaction fees and other costs. We continued to account for our non-controlling 45% equity interest in Worldpay using the equity method of accounting through the closing date of the transaction. As a result of the 2026 Worldpay Minority Interest Sale, we recorded as part of Equity method investment earnings (loss) an estimated pre-tax gain of $2.2 billion in the first quarter of 2026, representing the excess of the net selling price over the carrying value of the Worldpay equity method investment as of the date of closing, adjusted for the impact of our share of Worldpay's cumulative translation adjustments recorded in accumulated other comprehensive earnings (loss). In addition, we recorded as part of Equity method investment earnings (loss) estimated tax expense of $44 million in the first quarter of 2026, which is net of the reversal of our Worldpay equity method investment deferred tax liability as of January 8, 2026. Post-closing purchase price adjustments and completion of other purchase agreement provisions in connection with the 2026 Worldpay Minority Interest Sale could result in further adjustments to the estimated gain on sale. The final gain could differ materially from the current estimate. The final tax due also remains subject to change based on the excess of sales proceeds over the tax basis and other factors, including the final consideration allocation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Summary Worldpay financial information is as follows (in millions):</w:t>
      </w:r>
    </w:p>
    <w:tbl>
      <w:tblPr>
        <w:tblW w:w="8379" w:type="dxa"/>
        <w:jc w:val="left"/>
        <w:tblInd w:w="0" w:type="dxa"/>
        <w:tblLayout w:type="fixed"/>
        <w:tblCellMar>
          <w:top w:w="28" w:type="dxa"/>
          <w:left w:w="28" w:type="dxa"/>
          <w:bottom w:w="28" w:type="dxa"/>
          <w:right w:w="28" w:type="dxa"/>
        </w:tblCellMar>
      </w:tblPr>
      <w:tblGrid>
        <w:gridCol w:w="2086"/>
        <w:gridCol w:w="1835"/>
        <w:gridCol w:w="1838"/>
        <w:gridCol w:w="253"/>
        <w:gridCol w:w="741"/>
        <w:gridCol w:w="130"/>
        <w:gridCol w:w="109"/>
        <w:gridCol w:w="109"/>
        <w:gridCol w:w="109"/>
        <w:gridCol w:w="251"/>
        <w:gridCol w:w="735"/>
        <w:gridCol w:w="183"/>
      </w:tblGrid>
      <w:tr>
        <w:trPr/>
        <w:tc>
          <w:tcPr>
            <w:tcW w:w="208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ended</w:t>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Earnings (Loss)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Worldpay</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 share of net earnings (loss) attributable to Worldpay, net of tax (1)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the three and six months ended June 30, 2025, this amount is net of $(533) million and $(511) million, respectively, of investor-level tax (expense) benefit, as well as intra-entity eliminations for timing differences between the Company and Worldpay's recognition of profits and losses on related-party transactions. The investor-level tax for the three and six months ended June 30, 2025, includes $539 million of expense related to deferred taxes recognized following the Company's decision to sell its remaining interest in Worldpay.</w:t>
      </w:r>
    </w:p>
    <w:p>
      <w:pPr>
        <w:pStyle w:val="TextBody"/>
        <w:bidi w:val="0"/>
        <w:spacing w:before="0" w:after="0"/>
        <w:jc w:val="left"/>
        <w:rPr/>
      </w:pPr>
      <w:r>
        <w:rPr/>
      </w:r>
    </w:p>
    <w:tbl>
      <w:tblPr>
        <w:tblW w:w="3405" w:type="dxa"/>
        <w:jc w:val="left"/>
        <w:tblInd w:w="0" w:type="dxa"/>
        <w:tblLayout w:type="fixed"/>
        <w:tblCellMar>
          <w:top w:w="28" w:type="dxa"/>
          <w:left w:w="28" w:type="dxa"/>
          <w:bottom w:w="28" w:type="dxa"/>
          <w:right w:w="28" w:type="dxa"/>
        </w:tblCellMar>
      </w:tblPr>
      <w:tblGrid>
        <w:gridCol w:w="674"/>
        <w:gridCol w:w="591"/>
        <w:gridCol w:w="595"/>
        <w:gridCol w:w="300"/>
        <w:gridCol w:w="1026"/>
        <w:gridCol w:w="219"/>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Continuing Involvement with Discontinued Operations and Related-Party Transactions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January 9, 2026, sale of its remaining ownership interest in Worldpay, the Company no longer has an equity interest in, or related-party relationship with, Worldpay. Comparative period information is presented to reflect related-party activity during periods in which Worldpay was a related party.</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continues to have limited involvement with Worldpay primarily through a transition services agreement ("TSA") and certain other commercial agreements. Under the terms of the TSA, the Company procures certain third-party services on behalf of Worldpay and provides technology infrastructure, risk and security, accounting and various other corporate services to Worldpay, while Worldpay provides certain corporate services to the Company to support access to resources transferred in the 2024 Worldpay Sale. The TSA term extends through June 30, 2027, subject to further extension for a period of up to January 8, 2028. Certain commercial agreements originally entered into with Worldpay were amended to extend services to Global Payments. The TSA and commercial agreements also provide for certain annual purchase commitments.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while Worldpay remained a related party, third-party pass-through costs of $22 million and $42 million, respectively, were incurred under the TSA and were netted against the equal and offsetting reimbursement amounts due from Worldpay. Additionally, during the three and six months ended June 30, 2025, net TSA services income of $28 million and $56 million, respectively, was recognized in Other operating (income) expense, net, with approximately two-thirds of the corresponding expense recorded in Cost of revenue and the remainder recorded in Selling, general and administrative expense in the consolidated statements of earnings (loss). Revenue earned from various commercial services provided to Worldpay during the three and six months ended June 30, 2025, was $38 million and $73 million, respectively. During those same periods, the Company collected net cash of $82 million and $233 million, respectively, related to agreements with Worldpay. As of December 31, 2025, amounts associated with the TSA included payables to Worldpay of $24 million in Accounts payable, accrued and other liabilities on the consolidated balance sheet.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2024 Worldpay Sale, the Company issued standby letters of credit and made parental guarantees (collectively "Guarantees") in the ordinary course of its business to various counterparties on behalf of certain former subsidiaries included in the 2024 Worldpay Sale, including a guarantee of a liability that a Worldpay subsidiary owes to the former owners of Worldpay Group plc (the "CVR Liability"). Effective upon the closing of the 2026 Worldpay Minority Interest Sale, FIS and Worldpay agreed to maintain these Guarantees through December 31, 2026, affording Worldpay time to arrange for alternatives to the Guarantees. Worldpay's aggregate amount of borrowing capacity under the standby letters of credit guaranteed by FIS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 $289 million and $294 million as of June 30, 2026, and December 31, 2025, respectively. As of June 30, 2026, and December 31, 2025, there were no amounts drawn under the standby letters of credit. As of June 30, 2026, and December 31, 2025, Worldpay's CVR Liability due on October 12, 2027, was $378 million. There is no limitation to the maximum potential future payments under the other remaining Guarantees, and such maximum potential amount of future payments under the other remaining Guarantees cannot be estimated due to the conditional nature of the Company's obligations and the unique facts and circumstances involved in each agreement. As of June 30, 2026, there are no amounts drawn under any of the Guarantees. In the event a Worldpay subsidiary were to default on a performance obligation covered by the Guarantees, the Company could be required to make payment or be subject to claims; however, in any such case, Worldpay is required under the terms of the agreement governing the 2024 Worldpay Sale to fully reimburse and indemnify the Company. The Company considers the likelihood of incurring a loss under the Guarantees to be remote, and no amounts have been accrued with respect to these Guarantees.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Issuer Solutions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As discussed in Note 1, on January 9, 2026, FIS completed its previously announced acquisition of the Issuer Solutions Business from Global Payments by acquiring 100% of the Issuer Solutions Business equity pursuant to the Transaction Agreement. The Issuer Solutions Business, which was later rebranded as "FIS Total Issuing</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Solutions," is a global payments technology and financial services provider specializing in issuer processing and a wide range of payment solutions for financial institutions. The Issuer Solutions Acquisition is expected to strengthen FIS' banking and capital markets solutions by complementing FIS' existing processing capabilities while also extending its suite of payment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set forth in the Transaction Agreement, FIS acquired the Issuer Solutions Business from Global Payments in exchange for FIS' $5.8 billion interest, net of taxes and other costs, in Worldpay and approximately $7.7 billion in cash. The cash payment amount remains subject to change based on the resolution of post-closing adjustments in respect of the respective purchase price for each of Worldpay and the Issuer Solutions Business. FIS also converted certain outstanding Global Payments equity awards into corresponding equity awards for shares of FIS common stock based on an exchange ratio in the Transaction Agreement designed to maintain the intrinsic value of the applicable awards immediately prior to conversion. FIS funded the cash portion of the transaction consideration through borrowings of $7.7 billion under senior unsecured term loans as part of the term facility entered into on May 1, 2025 (the "Term Facility"), as further described in Note 7. FIS repaid the Term Facility with new senior notes issued on March 10, 2026, and the Term Facility was terminated in accordance with its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purchase price was as follows (in millions):</w:t>
      </w:r>
    </w:p>
    <w:p>
      <w:pPr>
        <w:pStyle w:val="TextBody"/>
        <w:bidi w:val="0"/>
        <w:spacing w:before="0" w:after="0"/>
        <w:ind w:left="0" w:right="0" w:firstLine="360"/>
        <w:jc w:val="left"/>
        <w:rPr/>
      </w:pPr>
      <w:r>
        <w:rPr/>
      </w:r>
    </w:p>
    <w:tbl>
      <w:tblPr>
        <w:tblW w:w="4623" w:type="dxa"/>
        <w:jc w:val="left"/>
        <w:tblInd w:w="0" w:type="dxa"/>
        <w:tblLayout w:type="fixed"/>
        <w:tblCellMar>
          <w:top w:w="28" w:type="dxa"/>
          <w:left w:w="28" w:type="dxa"/>
          <w:bottom w:w="28" w:type="dxa"/>
          <w:right w:w="28" w:type="dxa"/>
        </w:tblCellMar>
      </w:tblPr>
      <w:tblGrid>
        <w:gridCol w:w="1162"/>
        <w:gridCol w:w="1022"/>
        <w:gridCol w:w="1026"/>
        <w:gridCol w:w="109"/>
        <w:gridCol w:w="109"/>
        <w:gridCol w:w="109"/>
        <w:gridCol w:w="211"/>
        <w:gridCol w:w="72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Worldpay Minority Interest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acquisition was accounted for as a business combination under FASB Accounting Standards Codification ("ASC") Topic 805,</w:t>
      </w:r>
      <w:r>
        <w:rPr>
          <w:color w:val="000000"/>
        </w:rPr>
        <w:t xml:space="preserve">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We recorded a preliminary allocation of the purchase price to the tangible and identifiable intangible assets acquired and liabilities assumed of the Issuer Solutions Business based on estimated fair values as of January 9, 2026. The provisional amounts for intangible assets are based on preliminary third-party valuation analyses. Goodwill was recorded as the residual amount by which the purchase price exceeded the provisional fair value of the net assets acquired. Goodwill consists primarily of expected synergies from combining operations, the acquired workforce and future growth opportunities, none of which qualify as separately identifiable intangible assets. The acquired business is reported within the Banking Solutions segment, and accordingly, goodwill recognized in the acquisition is allocated to that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analyses used to assign fair values to assets acquired and liabilities assumed as of January 9, 2026, are ongoing and include evaluations of the facts and circumstances that existed as of that date and assessments of the economic characteristics of the acquired software and other intangibles. During the quarter ended June 30, 2026, the Company recognized measurement-period adjustments of $466 million, which were primarily related to changes in deferred taxes and the valuation of intangible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We expect to finalize the purchase price allocation as soon as practicable, but no later than one year from the acquisition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as of June 30, 2026, is as follows (in millions):</w:t>
      </w:r>
    </w:p>
    <w:p>
      <w:pPr>
        <w:pStyle w:val="TextBody"/>
        <w:bidi w:val="0"/>
        <w:spacing w:before="0" w:after="0"/>
        <w:ind w:left="0" w:right="0" w:firstLine="360"/>
        <w:jc w:val="left"/>
        <w:rPr/>
      </w:pPr>
      <w:r>
        <w:rPr/>
      </w:r>
    </w:p>
    <w:tbl>
      <w:tblPr>
        <w:tblW w:w="8913" w:type="dxa"/>
        <w:jc w:val="left"/>
        <w:tblInd w:w="0" w:type="dxa"/>
        <w:tblLayout w:type="fixed"/>
        <w:tblCellMar>
          <w:top w:w="28" w:type="dxa"/>
          <w:left w:w="28" w:type="dxa"/>
          <w:bottom w:w="28" w:type="dxa"/>
          <w:right w:w="28" w:type="dxa"/>
        </w:tblCellMar>
      </w:tblPr>
      <w:tblGrid>
        <w:gridCol w:w="2715"/>
        <w:gridCol w:w="2390"/>
        <w:gridCol w:w="2395"/>
        <w:gridCol w:w="109"/>
        <w:gridCol w:w="109"/>
        <w:gridCol w:w="109"/>
        <w:gridCol w:w="211"/>
        <w:gridCol w:w="721"/>
        <w:gridCol w:w="154"/>
      </w:tblGrid>
      <w:tr>
        <w:trPr/>
        <w:tc>
          <w:tcPr>
            <w:tcW w:w="271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including settlement assets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 including settlement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contractual amount of trade receivables acquired was approximately $325 million. The difference between that total and the provisional amount reflected above represents our best estimate at the acquisition date of the contractual cash flows not expected to be collected. This difference was derived using Issuer Solutions' historical bad debts, sales allowances and collection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Approximately $5.5 billion of the goodwill recognized is expected to be deductible for U.S. federal income tax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consist primarily of customer relationship assets and trademarks with weighted average estimated useful lives of 10 years and 2 years, respectively, and provisional fair value amounts of $3,580 million and $35 million, respectively. Software consists primarily of developed technology, which has a weighted average estimated useful life of 7 years and a provisional fair value of $2,020 million.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Unaudited Supplemental Pro Forma Results Giving Effect to the Issuer Solutions Acquisition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Issuer Solutions' revenue and pre-tax income included in the consolidated statements of earnings (loss) were $666 million and $37 million, respectively, for the three month-period ended June 30, 2026, and $1,258 million and $72 million, respectively, for the period from January 9, 2026, through June 30,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ASC 805, the Company's unaudited supplemental pro forma results of operations for the three and six months ended June 30, 2026 and 2025, assuming the Issuer Solutions Acquisition had occurred as of January 1, 2025, are presented below (in millions):</w:t>
      </w:r>
    </w:p>
    <w:p>
      <w:pPr>
        <w:pStyle w:val="TextBody"/>
        <w:bidi w:val="0"/>
        <w:spacing w:before="0" w:after="0"/>
        <w:ind w:left="0" w:right="0" w:firstLine="360"/>
        <w:jc w:val="left"/>
        <w:rPr/>
      </w:pPr>
      <w:r>
        <w:rPr/>
      </w:r>
    </w:p>
    <w:tbl>
      <w:tblPr>
        <w:tblW w:w="8718" w:type="dxa"/>
        <w:jc w:val="left"/>
        <w:tblInd w:w="0" w:type="dxa"/>
        <w:tblLayout w:type="fixed"/>
        <w:tblCellMar>
          <w:top w:w="28" w:type="dxa"/>
          <w:left w:w="28" w:type="dxa"/>
          <w:bottom w:w="28" w:type="dxa"/>
          <w:right w:w="28" w:type="dxa"/>
        </w:tblCellMar>
      </w:tblPr>
      <w:tblGrid>
        <w:gridCol w:w="1133"/>
        <w:gridCol w:w="999"/>
        <w:gridCol w:w="1003"/>
        <w:gridCol w:w="109"/>
        <w:gridCol w:w="109"/>
        <w:gridCol w:w="109"/>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pro forma results include certain pro forma adjustments to revenue and net earnings that were directly attributable to the acquisition, assuming the acquisition had occurred on January 1, 2025,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in amortization expense that would have been recognized relating to the acquired intangible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adjustment to interest expense to record the interest on the senior notes assumed to be in place as of January 1,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adjustment to equity method investment earnings (loss), net of tax of $2,206 million for the six months ended June 30, 2025, to reflect the gain on the 2026 Worldpay Minority Interest Sale, which represents the remeasurement of FIS' remaining Worldpay equity interest to fair value and the non-cash consideration transferred for the Issuer Solutions Acquisition;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reduction in selling, general, and administrative expenses for the three and six months ended June 30, 2026, of $8 million and $12 million, respectively, and an increase in selling, general, and administrative expenses for the six months ended June 30, 2025, of $49 million, for acquisition-related transaction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2026 Business Combinations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the Company completed the acquisition of two additional businesses for aggregate consideration of approximately $505 million, consisting of cash consideration, the issuance of approximately 1.3 million shares of FIS common stock, and contingent consideration with an estimated acquisition-date fair value of $110 million. The contingent consideration consists of potential future cash payments based on the achievement of implemented revenue targets, with an aggregate potential amount ranging from $0 to $834 million and periodic payments, if any, occurring through the second quarter of 2033. These acquisitions were accounted for as business combinations. The results of operations and financial position of the acquired businesses are included in the consolidated financial statements subsequent to the closing of each acquisition.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provisional allocations of the purchase price to tangible and identifiable intangible assets acquired and liabilities assumed based on their estimated fair values, consisting primarily of $93 million in customer relationships and $92 million in software assets. The Company also recorded approximately $366 million of goodwill, representing the excess of the purchase consideration over the provisional fair value of the net assets acquired. Goodwill consists primarily of expected synergies, including cross-selling opportunities and integration benefits, the assembled workforce, and future growth opportunities, none of which qualifies as separately identifiable intangible assets. The purchase price allocations are provisional as of June 30, 2026, and the Company expects to finalize them as soon as practicable, but no later than one year from the respective acquisition dates.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Company recognized measurement period adjustments that resulted in a $12 million decrease to goodwill, attributable in its entirety to a decrease in the estimated acquisition-date contingent consideration liability.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one of the acquisitions, the Company entered into an indemnification arrangement pursuant to which it may be required to make payments upon the occurrence of certain post</w:t>
        <w:noBreakHyphen/>
        <w:t>closing events. The Company's maximum potential exposure under this arrangement is approximately $170 million. The Company believes the likelihood of any payments under this arrangement is remote; accordingly, no liability has been recorded as of June 30, 2026. The Company has obtained insurance coverage intended to mitigate potential losses associated with this indemnification; however, the Company remains primarily obligated under the arrangement.</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2025 Business Combinations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completed the acquisition of two businesses for total consideration, net of cash acquired, of $586 million, consisting of initial cash payments of $571 million, net of cash acquired, and $15 million in estimated fair value of contingent consideration. These acquisitions were recorded as business combinations. The results of operations and financial position of the acquisitions are included in the consolidated financial statements subsequent to the closing of each acquisition. The Company recorded an allocation of the purchase price to tangible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acquired and liabilities assumed based on their fair values, consisting primarily of $163 million in customer relationships and $85 million in software assets. The Company also recorded $326 million of goodwill for the residual amount by which the purchase price exceeded the fair value of the net assets acquired. The purchase price allocation for one of the acquisitions remained provisional as of June 30, 2026, and the Company expects to finalize it as soon as practicable, but no later than one year from the acquisition date.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10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following tables, revenue is disaggregated by primary geographical market and type of revenue. The tables also include a reconciliation of the disaggregated revenue with the Company's reportable segments. Prior-period amounts have been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reclassified to conform to the new reportable segment presentation as discussed in Note 11.</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 millions):</w:t>
      </w:r>
    </w:p>
    <w:tbl>
      <w:tblPr>
        <w:tblW w:w="8350"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37"/>
        <w:gridCol w:w="525"/>
        <w:gridCol w:w="124"/>
        <w:gridCol w:w="109"/>
        <w:gridCol w:w="109"/>
        <w:gridCol w:w="109"/>
        <w:gridCol w:w="307"/>
        <w:gridCol w:w="525"/>
        <w:gridCol w:w="159"/>
        <w:gridCol w:w="109"/>
        <w:gridCol w:w="109"/>
        <w:gridCol w:w="109"/>
        <w:gridCol w:w="211"/>
        <w:gridCol w:w="616"/>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(in millions):</w:t>
      </w:r>
    </w:p>
    <w:tbl>
      <w:tblPr>
        <w:tblW w:w="8130"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11"/>
        <w:gridCol w:w="466"/>
        <w:gridCol w:w="109"/>
        <w:gridCol w:w="109"/>
        <w:gridCol w:w="109"/>
        <w:gridCol w:w="109"/>
        <w:gridCol w:w="233"/>
        <w:gridCol w:w="516"/>
        <w:gridCol w:w="122"/>
        <w:gridCol w:w="109"/>
        <w:gridCol w:w="109"/>
        <w:gridCol w:w="109"/>
        <w:gridCol w:w="211"/>
        <w:gridCol w:w="616"/>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(in millions):</w:t>
      </w:r>
    </w:p>
    <w:p>
      <w:pPr>
        <w:pStyle w:val="TextBody"/>
        <w:bidi w:val="0"/>
        <w:spacing w:before="0" w:after="0"/>
        <w:ind w:left="0" w:right="0" w:firstLine="360"/>
        <w:jc w:val="left"/>
        <w:rPr/>
      </w:pPr>
      <w:r>
        <w:rPr/>
      </w:r>
    </w:p>
    <w:tbl>
      <w:tblPr>
        <w:tblW w:w="8280"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11"/>
        <w:gridCol w:w="616"/>
        <w:gridCol w:w="109"/>
        <w:gridCol w:w="109"/>
        <w:gridCol w:w="109"/>
        <w:gridCol w:w="109"/>
        <w:gridCol w:w="233"/>
        <w:gridCol w:w="516"/>
        <w:gridCol w:w="122"/>
        <w:gridCol w:w="109"/>
        <w:gridCol w:w="109"/>
        <w:gridCol w:w="109"/>
        <w:gridCol w:w="211"/>
        <w:gridCol w:w="616"/>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(in millions):</w:t>
      </w:r>
    </w:p>
    <w:p>
      <w:pPr>
        <w:pStyle w:val="TextBody"/>
        <w:bidi w:val="0"/>
        <w:spacing w:before="0" w:after="0"/>
        <w:ind w:left="0" w:right="0" w:firstLine="360"/>
        <w:jc w:val="left"/>
        <w:rPr/>
      </w:pPr>
      <w:r>
        <w:rPr/>
      </w:r>
    </w:p>
    <w:tbl>
      <w:tblPr>
        <w:tblW w:w="8280"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11"/>
        <w:gridCol w:w="616"/>
        <w:gridCol w:w="109"/>
        <w:gridCol w:w="109"/>
        <w:gridCol w:w="109"/>
        <w:gridCol w:w="109"/>
        <w:gridCol w:w="233"/>
        <w:gridCol w:w="516"/>
        <w:gridCol w:w="122"/>
        <w:gridCol w:w="109"/>
        <w:gridCol w:w="109"/>
        <w:gridCol w:w="109"/>
        <w:gridCol w:w="211"/>
        <w:gridCol w:w="616"/>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Clients in the United Kingdom, Canada, Germany, Australia, India, and Ireland account for the majority of the revenue from clients based outside of the U.S. No individual country outside the U.S. accounted for more than 10% of total revenue for the three months and six months ended June 30, 2026 and 2025,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of $217 million and $207 million during the three months, and $585 million and $527 million during the six months ended June 30, 2026 and 2025, respectively, that was included in the corresponding deferred revenue balance at the beginning of the periods.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estimates it will recognize approximately $25.0 billion of revenue from remaining unfulfilled performance obligations, which are primarily comprised of recurring account- and volume-based processing services. This amount excludes anticipated recurring renewals that are not yet contractually committed, as well as variable consideration related to Total Issuing™ Solutions contracts, which have remaining contractual terms similar to the Company's other processing arrangements but for which future processing volumes cannot be reasonably estimated; such amounts are allocated entirely to, and recognized in, the period in which the related processing services are performed. The Company estimates that approximately 34% of remaining performance obligations will be recognized over the next 12 months, approximately another 25% over the subsequent 13 to 24 months, and the remainder thereafter.</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(5)    Condensed Consolidated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restricted cash in captions other than Cash and cash equivalents on the consolidated balance sheets. The reconciliation between Cash and cash equivalents on the consolidated balance sheets and Cash, cash equivalents and restricted cash per the consolidated statements of cash flows is as follows (in millions): </w:t>
      </w:r>
    </w:p>
    <w:p>
      <w:pPr>
        <w:pStyle w:val="TextBody"/>
        <w:bidi w:val="0"/>
        <w:spacing w:before="0" w:after="0"/>
        <w:ind w:left="0" w:right="0" w:firstLine="360"/>
        <w:jc w:val="left"/>
        <w:rPr/>
      </w:pPr>
      <w:r>
        <w:rPr/>
      </w:r>
    </w:p>
    <w:tbl>
      <w:tblPr>
        <w:tblW w:w="9933" w:type="dxa"/>
        <w:jc w:val="left"/>
        <w:tblInd w:w="0" w:type="dxa"/>
        <w:tblLayout w:type="fixed"/>
        <w:tblCellMar>
          <w:top w:w="28" w:type="dxa"/>
          <w:left w:w="28" w:type="dxa"/>
          <w:bottom w:w="28" w:type="dxa"/>
          <w:right w:w="28" w:type="dxa"/>
        </w:tblCellMar>
      </w:tblPr>
      <w:tblGrid>
        <w:gridCol w:w="2781"/>
        <w:gridCol w:w="2446"/>
        <w:gridCol w:w="2453"/>
        <w:gridCol w:w="211"/>
        <w:gridCol w:w="466"/>
        <w:gridCol w:w="109"/>
        <w:gridCol w:w="109"/>
        <w:gridCol w:w="109"/>
        <w:gridCol w:w="109"/>
        <w:gridCol w:w="289"/>
        <w:gridCol w:w="639"/>
        <w:gridCol w:w="212"/>
      </w:tblGrid>
      <w:tr>
        <w:trPr/>
        <w:tc>
          <w:tcPr>
            <w:tcW w:w="278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on the consolidated balance sheets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recorded within Prepaid expenses and other current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per the consolidated statements of cash flows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Settlement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the Company's settlement assets on the consolidated balance sheets are as follows (in millions):</w:t>
      </w:r>
    </w:p>
    <w:tbl>
      <w:tblPr>
        <w:tblW w:w="4233" w:type="dxa"/>
        <w:jc w:val="left"/>
        <w:tblInd w:w="0" w:type="dxa"/>
        <w:tblLayout w:type="fixed"/>
        <w:tblCellMar>
          <w:top w:w="28" w:type="dxa"/>
          <w:left w:w="28" w:type="dxa"/>
          <w:bottom w:w="28" w:type="dxa"/>
          <w:right w:w="28" w:type="dxa"/>
        </w:tblCellMar>
      </w:tblPr>
      <w:tblGrid>
        <w:gridCol w:w="717"/>
        <w:gridCol w:w="629"/>
        <w:gridCol w:w="634"/>
        <w:gridCol w:w="211"/>
        <w:gridCol w:w="466"/>
        <w:gridCol w:w="109"/>
        <w:gridCol w:w="109"/>
        <w:gridCol w:w="109"/>
        <w:gridCol w:w="109"/>
        <w:gridCol w:w="289"/>
        <w:gridCol w:w="639"/>
        <w:gridCol w:w="212"/>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deposits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receivables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Settlement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as of June 30, 2026, and December 31, 2025, consists of the following (in millions):</w:t>
      </w:r>
    </w:p>
    <w:tbl>
      <w:tblPr>
        <w:tblW w:w="6333" w:type="dxa"/>
        <w:jc w:val="left"/>
        <w:tblInd w:w="0" w:type="dxa"/>
        <w:tblLayout w:type="fixed"/>
        <w:tblCellMar>
          <w:top w:w="28" w:type="dxa"/>
          <w:left w:w="28" w:type="dxa"/>
          <w:bottom w:w="28" w:type="dxa"/>
          <w:right w:w="28" w:type="dxa"/>
        </w:tblCellMar>
      </w:tblPr>
      <w:tblGrid>
        <w:gridCol w:w="1422"/>
        <w:gridCol w:w="1252"/>
        <w:gridCol w:w="1256"/>
        <w:gridCol w:w="211"/>
        <w:gridCol w:w="616"/>
        <w:gridCol w:w="109"/>
        <w:gridCol w:w="109"/>
        <w:gridCol w:w="109"/>
        <w:gridCol w:w="109"/>
        <w:gridCol w:w="289"/>
        <w:gridCol w:w="639"/>
        <w:gridCol w:w="212"/>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 Software and 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Intangible assets, Software and Property and equipment as of June 30, 2026, and December 31, 2025 (in millions):</w:t>
      </w:r>
    </w:p>
    <w:tbl>
      <w:tblPr>
        <w:tblW w:w="10205" w:type="dxa"/>
        <w:jc w:val="left"/>
        <w:tblInd w:w="0" w:type="dxa"/>
        <w:tblLayout w:type="fixed"/>
        <w:tblCellMar>
          <w:top w:w="28" w:type="dxa"/>
          <w:left w:w="28" w:type="dxa"/>
          <w:bottom w:w="28" w:type="dxa"/>
          <w:right w:w="28" w:type="dxa"/>
        </w:tblCellMar>
      </w:tblPr>
      <w:tblGrid>
        <w:gridCol w:w="552"/>
        <w:gridCol w:w="471"/>
        <w:gridCol w:w="473"/>
        <w:gridCol w:w="211"/>
        <w:gridCol w:w="616"/>
        <w:gridCol w:w="109"/>
        <w:gridCol w:w="109"/>
        <w:gridCol w:w="109"/>
        <w:gridCol w:w="109"/>
        <w:gridCol w:w="368"/>
        <w:gridCol w:w="1079"/>
        <w:gridCol w:w="193"/>
        <w:gridCol w:w="109"/>
        <w:gridCol w:w="109"/>
        <w:gridCol w:w="109"/>
        <w:gridCol w:w="211"/>
        <w:gridCol w:w="616"/>
        <w:gridCol w:w="109"/>
        <w:gridCol w:w="109"/>
        <w:gridCol w:w="109"/>
        <w:gridCol w:w="109"/>
        <w:gridCol w:w="211"/>
        <w:gridCol w:w="616"/>
        <w:gridCol w:w="109"/>
        <w:gridCol w:w="109"/>
        <w:gridCol w:w="109"/>
        <w:gridCol w:w="109"/>
        <w:gridCol w:w="368"/>
        <w:gridCol w:w="1079"/>
        <w:gridCol w:w="193"/>
        <w:gridCol w:w="109"/>
        <w:gridCol w:w="109"/>
        <w:gridCol w:w="109"/>
        <w:gridCol w:w="211"/>
        <w:gridCol w:w="616"/>
        <w:gridCol w:w="159"/>
      </w:tblGrid>
      <w:tr>
        <w:trPr/>
        <w:tc>
          <w:tcPr>
            <w:tcW w:w="55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Intangible assets, net of amortization, includes $4.2 billion of customer relationships and $136 million of trademarks and other intangible assets. Amortization expense with respect to Intangible assets was $193 million and $159 million for the three months and $370 million and $314 million for the six months ended June 30, 2026 and 2025,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with respect to software was $312 million and $173 million for the three months, and $606 million and $341 million for the six months, ended June 30, 2026 and 2025,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software impairments during the three months ended June 30, 2026, and $72 million of software impairments during the six months ended June 30, 2026, primarily related to product rationalization and strategic realignment initiatives. There were no software impairments during the three and six months ended June 30, 2025.</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property and equipment was $62 million and $45 million for the three months, and $121 million and $89 million for the six months, ended June 30, 2026 and 2025, respectively.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goodwill during the six months ended June 30, 2026, are summarized below (in millions). </w:t>
      </w:r>
    </w:p>
    <w:p>
      <w:pPr>
        <w:pStyle w:val="TextBody"/>
        <w:bidi w:val="0"/>
        <w:spacing w:before="0" w:after="0"/>
        <w:ind w:left="0" w:right="0" w:firstLine="360"/>
        <w:jc w:val="left"/>
        <w:rPr/>
      </w:pPr>
      <w:r>
        <w:rPr/>
      </w:r>
    </w:p>
    <w:tbl>
      <w:tblPr>
        <w:tblW w:w="8380" w:type="dxa"/>
        <w:jc w:val="left"/>
        <w:tblInd w:w="0" w:type="dxa"/>
        <w:tblLayout w:type="fixed"/>
        <w:tblCellMar>
          <w:top w:w="28" w:type="dxa"/>
          <w:left w:w="28" w:type="dxa"/>
          <w:bottom w:w="28" w:type="dxa"/>
          <w:right w:w="28" w:type="dxa"/>
        </w:tblCellMar>
      </w:tblPr>
      <w:tblGrid>
        <w:gridCol w:w="1255"/>
        <w:gridCol w:w="1103"/>
        <w:gridCol w:w="1107"/>
        <w:gridCol w:w="211"/>
        <w:gridCol w:w="721"/>
        <w:gridCol w:w="109"/>
        <w:gridCol w:w="109"/>
        <w:gridCol w:w="109"/>
        <w:gridCol w:w="109"/>
        <w:gridCol w:w="211"/>
        <w:gridCol w:w="616"/>
        <w:gridCol w:w="109"/>
        <w:gridCol w:w="109"/>
        <w:gridCol w:w="109"/>
        <w:gridCol w:w="109"/>
        <w:gridCol w:w="269"/>
        <w:gridCol w:w="461"/>
        <w:gridCol w:w="141"/>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attributable to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due to segment realignment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assess goodwill for impairment on an annual basis during the fourth quarter or more frequently if circumstances indicate potential impairment. We evaluated whether events and circumstances as of June 30, 2026, indicated potential impairment of our reporting units.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our Banking and Capital Markets reporting units, we evaluated whether events or changes in circumstances occurred during the period that would require an interim goodwill impairment test. In performing this evaluation, we considered factors most likely to affect our reporting units' fair values. The factors examined involve use of management judgment and included, among others, (1) forecast revenue, growth rates, operating margins, and capital expenditures used to estimate future cash flows, (2) future economic and market conditions and (3) FIS' market capitalization, including consideration of declines in our share price and market capitalization during the three and six months ended June 30, 2026. Based on our triggering event assessment as of June 30, 2026, we concluded that it was not more likely than not that the fair value of any reporting unit was below its carrying amount. However, the estimated fair value of certain reporting units has become more sensitive to adverse changes in assumptions and market conditions than in prior periods. Accordingly, our conclusion is increasingly sensitive to further declines in our share price and market capitalization, as well as changes in assumptions used by market participants in estimating fair value, which we will continue to monitor to determine whether a quantitative goodwill impairment assessment is needed in a future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goodwill impairments during the three months ended June 30, 2026, and $16 million of goodwill impairment during the six months ended June 30, 2026, related to certain non-strategic businesses in the Corporate and Other segment. There were no goodwill impairments during the three and six months ended June 30, 2025.</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Security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various equity securities without readily determinable fair values. These securities primarily represent strategic investments made by the Company, as well as investments obtained through acquisitions. Such investments totaled $194 million and $193 million at June 30, 2026, and December 31, 2025, respectively, and are included within Other noncurrent assets on the consolidated balance sheets. The Company accounts for these investments at cost, less impairment, and adjusts the carrying values for observable price changes from orderly transactions for identical or similar investments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same issuer. These adjustments are generally considered Level 2-type fair value measurements. The Company records realized and unrealized gains and losses on these investments, as well as impairment losses, as Other income (expense), net in the consolidated statements of earnings (loss) and recorded net gains (losses) of $(1) million and $(1) million for the three months and $(1) million and $(3) million for the six months ended June 30, 2026 and 2025, respectively, related to these investments.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Payable, Accrued and Other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 as of June 30, 2026, and December 31, 2025, consisted of the following (in millions):</w:t>
      </w:r>
    </w:p>
    <w:p>
      <w:pPr>
        <w:pStyle w:val="TextBody"/>
        <w:bidi w:val="0"/>
        <w:spacing w:before="0" w:after="0"/>
        <w:ind w:left="0" w:right="0" w:firstLine="360"/>
        <w:jc w:val="left"/>
        <w:rPr/>
      </w:pPr>
      <w:r>
        <w:rPr/>
      </w:r>
    </w:p>
    <w:tbl>
      <w:tblPr>
        <w:tblW w:w="7405" w:type="dxa"/>
        <w:jc w:val="left"/>
        <w:tblInd w:w="0" w:type="dxa"/>
        <w:tblLayout w:type="fixed"/>
        <w:tblCellMar>
          <w:top w:w="28" w:type="dxa"/>
          <w:left w:w="28" w:type="dxa"/>
          <w:bottom w:w="28" w:type="dxa"/>
          <w:right w:w="28" w:type="dxa"/>
        </w:tblCellMar>
      </w:tblPr>
      <w:tblGrid>
        <w:gridCol w:w="1594"/>
        <w:gridCol w:w="1405"/>
        <w:gridCol w:w="1410"/>
        <w:gridCol w:w="253"/>
        <w:gridCol w:w="741"/>
        <w:gridCol w:w="131"/>
        <w:gridCol w:w="109"/>
        <w:gridCol w:w="109"/>
        <w:gridCol w:w="109"/>
        <w:gridCol w:w="332"/>
        <w:gridCol w:w="970"/>
        <w:gridCol w:w="242"/>
      </w:tblGrid>
      <w:tr>
        <w:trPr/>
        <w:tc>
          <w:tcPr>
            <w:tcW w:w="159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incentives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 and payroll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Related-party payables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accrued and other liabilities</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(6)    Deferred Contract Costs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Origination and fulfillment costs from contracts with customers capitalized as of June 30, 2026, and December 31, 2025, consisted of the following (in millions):</w:t>
      </w:r>
    </w:p>
    <w:tbl>
      <w:tblPr>
        <w:tblW w:w="7780" w:type="dxa"/>
        <w:jc w:val="left"/>
        <w:tblInd w:w="0" w:type="dxa"/>
        <w:tblLayout w:type="fixed"/>
        <w:tblCellMar>
          <w:top w:w="28" w:type="dxa"/>
          <w:left w:w="28" w:type="dxa"/>
          <w:bottom w:w="28" w:type="dxa"/>
          <w:right w:w="28" w:type="dxa"/>
        </w:tblCellMar>
      </w:tblPr>
      <w:tblGrid>
        <w:gridCol w:w="1732"/>
        <w:gridCol w:w="1524"/>
        <w:gridCol w:w="1528"/>
        <w:gridCol w:w="253"/>
        <w:gridCol w:w="741"/>
        <w:gridCol w:w="131"/>
        <w:gridCol w:w="109"/>
        <w:gridCol w:w="109"/>
        <w:gridCol w:w="109"/>
        <w:gridCol w:w="332"/>
        <w:gridCol w:w="970"/>
        <w:gridCol w:w="242"/>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origination costs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fulfillment costs on implementations in progress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fulfillment costs on completed implementations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costs, net</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costs on completed implementations was $98 million and $105 million during the three months and $197 million and $192 million for the six months ended June 30, 2026 and 2025,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impairment charges related to deferred contract cost assets during the three months ended June 30, 2026, and $14 million of impairment charges during the six months ended June 30, 2026, primarily associated with a non-strategic business. There were no such impairment charges during the three and six months ended June 30,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as of June 30, 2026, and December 31, 2025, consisted of the following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7"/>
        <w:gridCol w:w="1102"/>
        <w:gridCol w:w="1113"/>
        <w:gridCol w:w="109"/>
        <w:gridCol w:w="109"/>
        <w:gridCol w:w="109"/>
        <w:gridCol w:w="318"/>
        <w:gridCol w:w="318"/>
        <w:gridCol w:w="320"/>
        <w:gridCol w:w="109"/>
        <w:gridCol w:w="109"/>
        <w:gridCol w:w="109"/>
        <w:gridCol w:w="265"/>
        <w:gridCol w:w="265"/>
        <w:gridCol w:w="266"/>
        <w:gridCol w:w="109"/>
        <w:gridCol w:w="109"/>
        <w:gridCol w:w="109"/>
        <w:gridCol w:w="339"/>
        <w:gridCol w:w="339"/>
        <w:gridCol w:w="340"/>
        <w:gridCol w:w="109"/>
        <w:gridCol w:w="109"/>
        <w:gridCol w:w="109"/>
        <w:gridCol w:w="211"/>
        <w:gridCol w:w="721"/>
        <w:gridCol w:w="109"/>
        <w:gridCol w:w="109"/>
        <w:gridCol w:w="109"/>
        <w:gridCol w:w="109"/>
        <w:gridCol w:w="234"/>
        <w:gridCol w:w="684"/>
        <w:gridCol w:w="179"/>
      </w:tblGrid>
      <w:tr>
        <w:trPr/>
        <w:tc>
          <w:tcPr>
            <w:tcW w:w="144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 - 5.6%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Euro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2027 - 2039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GBP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 - 3.4%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USD Floating Rate Notes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Euro Floating Rate Notes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Revolving Credit Facility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arrangements for certain hardware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15"/>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weighted average interest rate includes the impact of the fair value basis adjustments due to interest rate swaps, the impact of cross-currency interest rate swaps designated as fair value hedges, and the impact of interest rate swaps designated as cash flow hedges, and excludes the impact of cross-currency interest rate swaps designated as net investment hedges (see Note 8). These impacts, in certain cases, result in an effective weighted average interest rate being outside the stated interest rate range on the fixed rate 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(2)Interest on the Senior USD Floating Rate Notes is payable quarterly at Compound Secured Overnight Financing Rate ("SOFR") plus 1.21%.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(3)Interest on the Senior EUR Floating Rate Notes is payable quarterly at Three-month Euro Interbank Offered Rate ("EURIBOR") plus 0.85%.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(4)Interest on the Revolving Credit Facility is generally payable at SOFR plus an applicable margin of up to 1.625% and an unused commitment fee of up to 0.200%, each based upon the Company's corporate credit ratings. The weighted average interest rate on the Revolving Credit Facility excludes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(5)Interest on the Incremental Revolving Credit Facility is generally payable at SOFR plus an applicable margin of up to 1.625% and an unused commitment fee of up to 0.200%, each based upon the Company's corporate credit ratings.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(6)Other includes the amount of fair value basis adjustments due to interest rate swaps (see further discussion below and in Note 8), unamortized debt issuance costs and unamortized non-cash bond discounts.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Short-term borrowings as of June 30, 2026, and December 31, 2025, consisted of the following (in millions):</w:t>
      </w:r>
    </w:p>
    <w:p>
      <w:pPr>
        <w:pStyle w:val="TextBody"/>
        <w:bidi w:val="0"/>
        <w:spacing w:before="0" w:after="0"/>
        <w:ind w:left="0" w:right="0" w:firstLine="360"/>
        <w:jc w:val="left"/>
        <w:rPr/>
      </w:pPr>
      <w:r>
        <w:rPr/>
      </w:r>
    </w:p>
    <w:tbl>
      <w:tblPr>
        <w:tblW w:w="9285" w:type="dxa"/>
        <w:jc w:val="left"/>
        <w:tblInd w:w="0" w:type="dxa"/>
        <w:tblLayout w:type="fixed"/>
        <w:tblCellMar>
          <w:top w:w="28" w:type="dxa"/>
          <w:left w:w="28" w:type="dxa"/>
          <w:bottom w:w="28" w:type="dxa"/>
          <w:right w:w="28" w:type="dxa"/>
        </w:tblCellMar>
      </w:tblPr>
      <w:tblGrid>
        <w:gridCol w:w="1347"/>
        <w:gridCol w:w="1185"/>
        <w:gridCol w:w="1187"/>
        <w:gridCol w:w="109"/>
        <w:gridCol w:w="109"/>
        <w:gridCol w:w="109"/>
        <w:gridCol w:w="203"/>
        <w:gridCol w:w="203"/>
        <w:gridCol w:w="442"/>
        <w:gridCol w:w="109"/>
        <w:gridCol w:w="109"/>
        <w:gridCol w:w="109"/>
        <w:gridCol w:w="444"/>
        <w:gridCol w:w="444"/>
        <w:gridCol w:w="446"/>
        <w:gridCol w:w="109"/>
        <w:gridCol w:w="109"/>
        <w:gridCol w:w="109"/>
        <w:gridCol w:w="211"/>
        <w:gridCol w:w="616"/>
        <w:gridCol w:w="109"/>
        <w:gridCol w:w="109"/>
        <w:gridCol w:w="109"/>
        <w:gridCol w:w="109"/>
        <w:gridCol w:w="245"/>
        <w:gridCol w:w="716"/>
        <w:gridCol w:w="179"/>
      </w:tblGrid>
      <w:tr>
        <w:trPr/>
        <w:tc>
          <w:tcPr>
            <w:tcW w:w="1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Euro-commercial paper notes ("ECP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183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 notes ("USCP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397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a party to interest rate swaps that, prior to de-designation as fair value hedges during the quarter ended September 30, 2023, converted a portion of its fixed-rate debt to variable-rate debt. As a result of the de-designations, the final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basis adjustments recorded through the dates of de-designation as a decrease of the long-term debt are subsequently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amortized as interest expense using the effective interest method over the remaining periods to maturity of the respective long-term debt. The fair value basis adjustments reflected in Other in the long-term debt table above totaled $(173) million and $(192) million as of June 30, 2026, and December 31, 2025, respectively.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also party to fixed-for-fixed cross-currency interest rate swaps under which it agrees to receive interest in foreign currency in exchange for paying interest in U.S. dollars. These are designated as fair value hedges.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also party to variable-for-fixed interest rate swaps under which it agrees to receive variable interest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for paying fixed interest. These are designated as cash flow hedges.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cross-currency interest rate swaps under which it agrees to receive interest in U.S. dollars in exchange for paying interest in a foreign currency. These are designated as net investment hedges. Although these cross-currency interest rate swaps are entered into as net investment hedges of its investments in certain of its non-U.S. subsidiaries, and not for the purpose of hedging interest rates, the benefit or cost of such hedges is reflected in interest expense in the consolidated statements of earnings (loss). As of June 30, 2026, the weighted average interest rate of the Company's outstanding debt was 4.2%, including the impact of fair value basis adjustments due to interest rate swaps, cross-currency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 designated as fair value hedges, and interest rate swaps designated as cash flow hedges, but excluding the impact of cross-currency interest rate swaps designated as net investment hedges. Including the impact of the net investment hedge cross-currency interest rate swaps on interest expense, the weighted average interest rate of the Company's outstanding debt was 3.8%.</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See Note 8 for further discussion of the Company's interest rate swaps and cross-currency interest rate swaps and related hedge designations.</w:t>
      </w:r>
      <w:r>
        <w:rPr>
          <w:color w:val="000000"/>
        </w:rPr>
        <w:t xml:space="preserve">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our long-term debt, including financing arrangements for certain hardware and software, as of June 30, 2026, based on maturity date.</w:t>
      </w:r>
    </w:p>
    <w:tbl>
      <w:tblPr>
        <w:tblW w:w="5357" w:type="dxa"/>
        <w:jc w:val="left"/>
        <w:tblInd w:w="0" w:type="dxa"/>
        <w:tblLayout w:type="fixed"/>
        <w:tblCellMar>
          <w:top w:w="28" w:type="dxa"/>
          <w:left w:w="28" w:type="dxa"/>
          <w:bottom w:w="28" w:type="dxa"/>
          <w:right w:w="28" w:type="dxa"/>
        </w:tblCellMar>
      </w:tblPr>
      <w:tblGrid>
        <w:gridCol w:w="1426"/>
        <w:gridCol w:w="1251"/>
        <w:gridCol w:w="1267"/>
        <w:gridCol w:w="109"/>
        <w:gridCol w:w="109"/>
        <w:gridCol w:w="109"/>
        <w:gridCol w:w="211"/>
        <w:gridCol w:w="72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per the long-term debt 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no mandatory principal payments on the revolving credit facilities, and any balance outstanding on the revolving credit facilities will be due and payable at the revolving credit facilities' respective scheduled maturity dates, which occur on September 27, 2029, for the Revolving Credit Facility and June 15, 2027, for the Incremental Revolving Credit Facility.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10, 2026, FIS issued and sold senior notes consisting of senior USD notes in an aggregate principal amount of $6.3 billion with interest rates of 4.45%, 4.55%, and 4.80% and maturities of 2028, 2029, and 2031; senior USD floating rate notes of $500 million with a maturity of 2029; senior Euro notes of €500 million with an interest rate of 3.45% and a maturity of 2030; and senior Euro floating rate notes of €500 million with a maturity of 2028. The proceeds from the debt issuance were used to repay short-term indebtedness under the Company's Term Facility incurred to finance the Issuer Solutions Acquisition, with remaining net proceeds used to repay borrowing outstanding under the Company's commercial paper programs during the first quarter of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 2026, FIS repaid in full an aggregate principal amount of $1,250 million in its 1.15% Senior USD Notes at maturity.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Commercial Paper</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Euro commercial paper ("ECP") and a U.S. commercial paper ("USCP") program for the issuance and sale of senior, unsecured commercial paper notes, up to a combined maximum aggregate amount outstanding at any time of $7.0 billion. Borrowings are limited to the availability of funds under the revolving credit facilities, which backstop the commercial paper programs. The ECP and USCP programs are generally used for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6, 2025, the Company amended its existing Revolving Credit Facility, increasing the total commitments from $4.5 billion to $6.0 billion. On November 6, 2025, FIS also entered into an Incremental Revolving Credit Facility that provides $1.0 billion in additional revolving credit commitments, with a scheduled maturity date of June 15, 2027. Proceeds from borrowings under this facility may be used for general corporate purposes, including working capital needs, repayment of existing indebtedness and to backstop the Company's commercial paper programs. As of June 30, 2026, the borrowing capacity under the revolving credit facilities was approximately $2.6 billion (net of $4.2 billion of capacity backstopping our commercial paper notes and $167 million of Revolving Credit Facility outstanding balance).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of Issuer Solutions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17, 2025, we entered into a commitment letter (the "Bridge Commitment Letter") with Goldman Sachs Bank USA, Wells Fargo Bank, National Association and Wells Fargo Securities, LLC (the "Lenders") pursuant to which the Lenders committed to provide a 364-day senior unsecured bridge term loan facility in an aggregate principal amount of up to $8.0 billion, subject to customary conditions. On May 1, 2025, we entered into a credit agreement (the "Term Facility") with a group of lenders pursuant to which we could draw up to an aggregate principal amount of $8.0 billion of senior unsecured term loans to fund the Issuer Solutions Acquisition, subject to customary conditions. Upon entry into the Term Facility, all commitments under the Bridge Commitment Letter were reduced to $0 and the Bridge Commitment Letter was terminated in accordance with its terms. We funded the cash portion of the Issuer Solutions Acquisition by drawing $7.7 billion under the Term Facility on January 9, 2026. FIS repaid the Term Facility with new senior notes issued on March 10, 2026, as noted above, and the Term Facility was terminated in accordance with its terms. We expect our future cash paid for interest to increase from historic levels as a result of increased debt used to finance the Issuer Solutions Acquisition.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long-term debt is estimated to be approximately $716 million and $619 million lower than the carrying value, excluding the fair value basis adjustments due to interest rate swaps and unamortized discounts, as of June 30, 2026, and December 31, 2025,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(8)    Financial Instruments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entered into interest rate swaps with an aggregate notional amount of $500 million and designated the swaps as cash flow hedges of the variability in forecasted interest payments on its Senior USD Floating Rate Notes. Changes in the fair value of the swaps that are determined to be effective are recorded in Accumulated other comprehensive earnings (loss) ("AOCI") and are reclassified into Interest expense in the periods the hedged forecasted interest payments affect earnings. During the three and six months ended June 30, 2026, the Company recorded $4 million and $7 million, respectively, in Other comprehensive earnings (loss) related to these cash flow hedges and classified nil as Interest expense. Cash payments or receipts related to the periodic interest settlements of these swaps are reflected in operating activities in the consolidated statements of cash flows. The fair value of these swaps totaled assets of $7 million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Hedges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held fixed-to-variable interest rate swaps with aggregate notional amounts of $1,854 million and £925 million at both June 30, 2026, and December 31, 2025. Prior to the quarter ended September 30, 2023, these swaps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designated as fair value hedges for accounting purposes, converting the interest rate exposure on certain of the Company's Senior Notes from fixed to variable. While designated as fair value hedges, changes in fair value of these interest rate swaps were recorded as an adjustment to long-term debt. During the quarter ended September 30, 2023, the Company de-designated these swaps as fair value hedges. As a result of the de-designations, the final fair value basis adjustments recorded through the dates of de-designation as a decrease of the long-term debt are subsequently amortized as interest expense using the effective interest method over the remaining periods to maturity of the respective long-term debt. The remaining unamortized fair value basis adjustments recorded as a decrease of the long-term debt totaled $173 million and $192 million at June 30, 2026, and December 31, 2025, respectively. We amortized $10 million and $9 million of these balances as Interest expense during the three months, and $19 million and $18 million during the six months, ended June 30, 2026 and 2025, respectively (see Note 7).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Concurrently with the de-designations described above, the Company entered into new offsetting variable-to-fixed interest rate swaps. The Company held variable-to-fixed interest rate swaps with aggregate notional amounts of $1,854 million and £925 million at both June 30, 2026, and December 31, 2025. The Company accounts for the de-designated fixed-to-variable and offsetting variable-to-fixed interest rate swaps as economic hedges; as such, effective as of the de-designation dates, changes in interest rates associated with the variable leg of the interest rate swaps do not affect the interest expense recognized on a net basis, eliminating variable-rate risk on the fixed-to-variable interest rate swaps. The terms of the new interest rate swaps when matched against the terms of the existing fixed-to-variable interest rate swaps result in a net fixed coupon spread payable by the Company. The impact of the go-forward changes in fair values of the new and existing interest rate swaps, including the impact of the coupons, is recorded as Other income (expense), net pursuant to accounting for economic hedges and totaled $(6) million and $(27) million for the three months and $(1) million and $(45) million for the six months ended June 30, 2026 and 2025, respectively. The coupon payments are recorded within Cash flows from investing activities in the consolidated statements of cash flows and totaled $64 million and $64 million in cash outflows for the six months ended June 30, 2026 and 2025, respectively. As of June 30, 2026, and December 31, 2025, the aggregate fair value of the Company's new and existing interest rate swaps included derivative assets of $15 million and $15 million and liabilities of $(454) million and $(517)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held fixed-for-fixed cross-currency interest rate swaps with aggregate notional amounts of approximately €3,375 million associated with its Senior Euro Notes and £170 million associated with its Senior GBP Notes at both June 30, 2026, and December 31, 2025, to hedge its exposure to foreign currency risk. These swaps are designated as fair value hedges for accounting purposes. The aggregate fair value of these outstanding cross-currency interest rate swaps totaled assets of $197 million and $278 million and liabilities of $0 million and $0 million at June 30, 2026, and December 31, 2025, respectively. Changes in the swap fair values attributable to changes in spot foreign currency exchange rates are recorded in Other income (expense), net and totaled $(32) million and $324 million for the three months, and $(116) million and $478 million for the six months, ended June 30, 2026 and 2025, respectively. This amount offset the impact of changes in spot foreign currency exchange rates on the Senior GBP Notes and Senior Euro Notes also recorded to Other income (expense), net during the hedge period. Changes in swap fair values attributable to excluded components, such as changes in fair value due to forward foreign currency exchange rates and cross-currency basis spreads, are recorded in Accumulated other comprehensive earnings (loss) ("AOCI"). The Company recorded $38 million and $1 million for the three months, and $36 million and $(68) million for the six months, ended June 30, 2026 and 2025, respectively, through Other comprehensive earnings (loss) for the changes in swap fair values attributable to excluded components. The amounts recorded in AOCI generally affect net earnings (loss) through Interest expense using the amortization approach. The Company recognized Interest expense of $10 million and $10 million during the three months, and $21 million and $22 million during the six months, ended June 30, 2026 and 2025, respectively, using the amortization approach.</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purpose of the Company's net investment hedges, as discussed below, is to reduce the volatility of FIS' net investment in its Euro- and Pound Sterling-denominated operations due to changes in foreign currency exchange rates. Changes in fair value of the net investment hedging instruments attributable to changes in spot foreign currency exchange rates, representing the effective portion of the hedges, are recorded as a component of AOCI for net investment hedges. The amounts included in AOCI for the net investment hedges will remain in AOCI until the complete or substantially complete liquidation of our investment in the underlying foreign operations. The Company assesses effectiveness of cross-currency interest rate swap hedging instruments using the spot method. Under this method, any ineffective portion of these hedging instruments impacts net earnings when the ineffectiveness occurs, while periodic interest settlements are recorded through Interest expense as excluded components (see Note 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net investment hedge aggregate gain (loss) for the change in fair value and related income tax (expense) benefit within Other comprehensive earnings (loss), net of tax, in the consolidated statements of comprehensive earnings (loss) for its designated net investment hedges as follows (in millions). No ineffectiveness has been recorded on the net investment hedges.</w:t>
      </w:r>
    </w:p>
    <w:tbl>
      <w:tblPr>
        <w:tblW w:w="9043" w:type="dxa"/>
        <w:jc w:val="left"/>
        <w:tblInd w:w="0" w:type="dxa"/>
        <w:tblLayout w:type="fixed"/>
        <w:tblCellMar>
          <w:top w:w="28" w:type="dxa"/>
          <w:left w:w="28" w:type="dxa"/>
          <w:bottom w:w="28" w:type="dxa"/>
          <w:right w:w="28" w:type="dxa"/>
        </w:tblCellMar>
      </w:tblPr>
      <w:tblGrid>
        <w:gridCol w:w="1489"/>
        <w:gridCol w:w="1308"/>
        <w:gridCol w:w="1312"/>
        <w:gridCol w:w="109"/>
        <w:gridCol w:w="109"/>
        <w:gridCol w:w="109"/>
        <w:gridCol w:w="250"/>
        <w:gridCol w:w="428"/>
        <w:gridCol w:w="129"/>
        <w:gridCol w:w="129"/>
        <w:gridCol w:w="129"/>
        <w:gridCol w:w="129"/>
        <w:gridCol w:w="250"/>
        <w:gridCol w:w="642"/>
        <w:gridCol w:w="129"/>
        <w:gridCol w:w="109"/>
        <w:gridCol w:w="109"/>
        <w:gridCol w:w="109"/>
        <w:gridCol w:w="216"/>
        <w:gridCol w:w="478"/>
        <w:gridCol w:w="111"/>
        <w:gridCol w:w="111"/>
        <w:gridCol w:w="111"/>
        <w:gridCol w:w="111"/>
        <w:gridCol w:w="216"/>
        <w:gridCol w:w="554"/>
        <w:gridCol w:w="157"/>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debt designations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 designations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Currency-Denominated Debt Designations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designates certain foreign currency-denominated debt as net investment hedges. An aggregate of €1,000 million and €0 million of Senior Euro Notes with maturities ranging from 2028 to 2030 was designated as a net investment hedge of the Company's investment in Euro-denominated operations as of June 30, 2026, and December 31, 2025, respectively. An aggregate of €100 million of ECP Notes was designated as a net investment hedge of the Company's investment in Euro-denominated operations as of both June 30, 2026, and December 31, 2025.</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Cross-Currency Interest Rate Swap Designations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designates certain cross-currency interest rate swaps as net investment hedges. As of June 30, 2026, and December 31, 2025, an aggregate notional amount of €6,295 million and €6,045 million was designated as a net investment hedge of the Company's investment in Euro-denominated operations, respectively. The cross-currency interest rate swap fair values totaled assets of $28 million and $5 million and liabilities of $(364) million and $(490) million as of June 30, 2026, and December 31, 2025,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there were no net cash payments or receipts from the settlement of the cross</w:t>
        <w:noBreakHyphen/>
        <w:t>currency interest rate swaps.</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contingent consideration obligations in connection with a business combination. The fair value of the related liabilities was $105 million as of June 30, 2026, estimated using a valuation model that incorporates significant unobservable inputs, including projected financial performance, volatility assumptions, and a risk-adjusted discount rate. During the three and six months ended June 30, 2026, changes in the estimated fair value of the contingent consideration resulted in a gain of $5 million, which was recorded in Other income (expense), net in the consolidated statement of earnings (loss).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Securities and Shareholder Matters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March 6, 2023, a putative class action was filed in the United States District Court for the Middle District of Florida by a shareholder of the Company. The action was consolidated with another action and the consolidated case is now captioned </w:t>
      </w:r>
      <w:r>
        <w:rPr>
          <w:rFonts w:ascii="Times New Roman;serif" w:hAnsi="Times New Roman;serif"/>
          <w:b w:val="false"/>
          <w:i/>
          <w:color w:val="000000"/>
          <w:sz w:val="20"/>
        </w:rPr>
        <w:t>In re Fidelity National Information Services, Inc. Securities Litigation</w:t>
      </w:r>
      <w:r>
        <w:rPr>
          <w:rFonts w:ascii="Times New Roman;serif" w:hAnsi="Times New Roman;serif"/>
          <w:b w:val="false"/>
          <w:color w:val="000000"/>
          <w:sz w:val="20"/>
        </w:rPr>
        <w:t>. Lead plaintiffs were appointed, and a consolidated amended complaint was filed on August 2, 2023. The consolidated amended complaint named the Company and certain of its current and former officers as defendants and sought damages for alleged violations of federal securities laws in connection with our disclosures relating to our former Merchant Solutions segment, including with respect to its valuation, integration, and synergies. On September 30, 2024, the court denied the defendants' motion to dismiss. In the fourth quarter of 2025, the parties filed a joint stipulation voluntarily dismissing the claims against Stephanie Ferris. Also in the fourth quarter of 2025, the parties reached an agreement to settle the matter. The settlement amount is expected to be substantially paid by insurance and is not expected to materially impact our results of operations or financial condition. On December 19, 2025, the plaintiffs filed a motion for preliminary approval of the settlement. The court entered a preliminary approval order on February 18, 2026, and granted final approval of the settlement at a hearing on July 9,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April 27, 2023, a shareholder derivative action captioned </w:t>
      </w:r>
      <w:r>
        <w:rPr>
          <w:rFonts w:ascii="Times New Roman;serif" w:hAnsi="Times New Roman;serif"/>
          <w:b w:val="false"/>
          <w:i/>
          <w:color w:val="000000"/>
          <w:sz w:val="20"/>
        </w:rPr>
        <w:t xml:space="preserve">Portia McCollum, derivatively on behalf of Fidelity National Information Services, Inc. v. Gary Norcross et al., </w:t>
      </w:r>
      <w:r>
        <w:rPr>
          <w:rFonts w:ascii="Times New Roman;serif" w:hAnsi="Times New Roman;serif"/>
          <w:b w:val="false"/>
          <w:color w:val="000000"/>
          <w:sz w:val="20"/>
        </w:rPr>
        <w:t>was filed in the same court by a stockholder of the Company. Subsequently, that stockholder dismissed the suit without prejudice and sent a demand pursuant to Georgia Code § 14-2-742 (the "McCollum Demand"). Another stockholder, City of Hialeah Employees' Retirement System, sent a similar demand (the "Hialeah Demand"), and three other stockholders, City of Southfield Fire and Police Retirement System, Young Family Living Trust, and Michele Luthin, also subsequently sent similar demands (the "Southfield Demand," the "Young Demand," and the "Luthin Demand," respectively). The Southfield Demand was subsequently withdrawn. The demands claim that FIS officers and directors violated federal securities laws and breached fiduciary duties, including with respect to the valuation, integration, and synergies of our former Merchant Solutions segment, and they demand that the Board investigate and commence legal proceedings against officers and directors in connection with the purported wrongdoing. On August 25, 2023, the Board established a Demand Review Committee to consider the McCollum and Hialeah Demands and any related demands that are received (such as the Young Demand and the Luthin Demand) and make recommendations to the Board with respect to the demands. The Demand Review Committee has hired independent counsel.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October 18, 2023, a shareholder derivative action captioned </w:t>
      </w:r>
      <w:r>
        <w:rPr>
          <w:rFonts w:ascii="Times New Roman;serif" w:hAnsi="Times New Roman;serif"/>
          <w:b w:val="false"/>
          <w:i/>
          <w:color w:val="000000"/>
          <w:sz w:val="20"/>
        </w:rPr>
        <w:t>City of Hialeah Employees' Retirement System v. Stephanie L. Ferris et al.</w:t>
      </w:r>
      <w:r>
        <w:rPr>
          <w:color w:val="000000"/>
        </w:rPr>
        <w:t xml:space="preserve"> </w:t>
      </w:r>
      <w:r>
        <w:rPr>
          <w:rFonts w:ascii="Times New Roman;serif" w:hAnsi="Times New Roman;serif"/>
          <w:b w:val="false"/>
          <w:color w:val="000000"/>
          <w:sz w:val="20"/>
        </w:rPr>
        <w:t>(the "Hialeah Action") was filed in the same court by the stockholder that previously had sent the Hialeah Demand. The complaint in the Hialeah Action, which names certain of the Company's current and former officers and directors as defendants (the "Individual Defendants"), seeks to assert claims on behalf of the Company for violations of federal securities laws, breach of fiduciary duty, unjust enrichment, and contribution and indemnification, including with respect to the valuation, integration, and synergies of our former Merchant Solutions segment. On March 29, 2024, the Company and the Individual Defendants filed a motion to stay or dismiss the action without prejudice pending the completion of the Board's consideration of the demands (the "Motion to Stay"), and the Individual Defendants concurrently filed a separate motion to dismiss (the "Individual Defendants' Motion to Dismiss"). On March 21, 2025, the court granted in part and denied in part the Motion to Stay, and denied the Individual Defendants' Motion to Dismiss. The Individual Defendants filed answers to the complaint on April 29, 2025, and the case was partially stayed pending completion of the Demand Review Committee's investigation.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October 22, 2024, another shareholder derivative action was filed in the same court by the stockholder who previously sent the McCollum Demand, captioned </w:t>
      </w:r>
      <w:r>
        <w:rPr>
          <w:rFonts w:ascii="Times New Roman;serif" w:hAnsi="Times New Roman;serif"/>
          <w:b w:val="false"/>
          <w:i/>
          <w:color w:val="000000"/>
          <w:sz w:val="20"/>
        </w:rPr>
        <w:t>Portia McCollum, derivatively on behalf of Fidelity National Information Services, Inc. v. Gary Norcross et al.</w:t>
      </w:r>
      <w:r>
        <w:rPr>
          <w:color w:val="000000"/>
        </w:rPr>
        <w:t xml:space="preserve"> </w:t>
      </w:r>
      <w:r>
        <w:rPr>
          <w:rFonts w:ascii="Times New Roman;serif" w:hAnsi="Times New Roman;serif"/>
          <w:b w:val="false"/>
          <w:color w:val="000000"/>
          <w:sz w:val="20"/>
        </w:rPr>
        <w:t>(the "McCollum Action"). The complaint in the McCollum Action, which names certain of the Company's current and former officers and directors as defendants, seeks to assert claims on behalf of the Company for violations of federal securities laws, breach of fiduciary duty, aiding and abetting breach of fiduciary duty, waste, and unjust enrichment, including with respect to the valuation, integration, and synergies of our former Merchant Solutions segment. On November 7, 2024, the court entered an order staying the McCollum Action.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Demand Review Committee provided a report on August 28, 2025, recommending that the independent members of the Board reject the demands and direct the Company to seek dismissal of the Hialeah Action and the McCollum Action, and the independent members of the Board have unanimously voted to adopt the Committee's recommendations. On November 24, 2025, the Company moved to dismiss the Hialeah Action and the McCollum Action based on the Board's determination.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Indemnifications and Warranties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generally indemnifies its clients, subject to certain limitations and exceptions, against damages and costs resulting from claims of patent, copyright, or trademark infringement associated solely with its customers' use of the Company's solutions. Historically, the Company has not made any material payments under such indemnifications but continues to monitor the conditions that are subject to the indemnifications to identify whether it is probable that a loss has occurred, in which case it would recognize any such losses when they are estimable. In addition, the Company warrants to customers that its software operates substantially in accordance with the software specifications. Historically, no material costs have been incurred related to software warranties, and no accruals for warranty costs have been made.</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(10)    Net Earnings (Loss)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basic weighted average shares and common stock equivalents for the three and six months ended June 30, 2026 and 2025, were computed using the treasury stock method.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earnings (loss) and net earnings (loss) per share attributable to FIS for the three and six months ended June 30, 2026 and 2025 (in millions, except per share amounts):</w:t>
      </w:r>
    </w:p>
    <w:tbl>
      <w:tblPr>
        <w:tblW w:w="9349" w:type="dxa"/>
        <w:jc w:val="left"/>
        <w:tblInd w:w="0" w:type="dxa"/>
        <w:tblLayout w:type="fixed"/>
        <w:tblCellMar>
          <w:top w:w="28" w:type="dxa"/>
          <w:left w:w="28" w:type="dxa"/>
          <w:bottom w:w="28" w:type="dxa"/>
          <w:right w:w="28" w:type="dxa"/>
        </w:tblCellMar>
      </w:tblPr>
      <w:tblGrid>
        <w:gridCol w:w="1664"/>
        <w:gridCol w:w="1460"/>
        <w:gridCol w:w="1466"/>
        <w:gridCol w:w="227"/>
        <w:gridCol w:w="549"/>
        <w:gridCol w:w="117"/>
        <w:gridCol w:w="117"/>
        <w:gridCol w:w="117"/>
        <w:gridCol w:w="117"/>
        <w:gridCol w:w="227"/>
        <w:gridCol w:w="630"/>
        <w:gridCol w:w="117"/>
        <w:gridCol w:w="109"/>
        <w:gridCol w:w="109"/>
        <w:gridCol w:w="109"/>
        <w:gridCol w:w="211"/>
        <w:gridCol w:w="616"/>
        <w:gridCol w:w="109"/>
        <w:gridCol w:w="109"/>
        <w:gridCol w:w="109"/>
        <w:gridCol w:w="109"/>
        <w:gridCol w:w="211"/>
        <w:gridCol w:w="586"/>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Common stock equivalent shares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outstanding-diluted</w:t>
            </w:r>
          </w:p>
        </w:tc>
        <w:tc>
          <w:tcPr>
            <w:tcW w:w="7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share-basic attributable to FIS</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per share-diluted attributable to FIS </w:t>
            </w:r>
          </w:p>
        </w:tc>
        <w:tc>
          <w:tcPr>
            <w:tcW w:w="2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diluted net loss per share for the three and six months ended June 30, 2025, did not include the effect of common stock equivalent shares of 2 million and 2 million, respectively, because the effect would have been anti-dilutive. Options to purchase approximately 4 million and 5 million shares of our common stock during the three months and 4 million and 5 million during the six months ended June 30, 2026 and 2025, respectively, were not included in the computation of diluted earnings per share because they were anti-dilutive.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2024, the Company's Board of Directors approved a share repurchase program authorizing the repurchase of up to $3.0 billion in aggregate value of shares of our common stock. Repurchases under the program may be made from time to time at management's discretion through open-market purchases, privately negotiated transactions, or pursuant to Rule 10b5-1 plans. The program does not have an expiration date and may be suspended, amended or discontinued at any time. During the three and six months ended June 30, 2026, the Company repurchased 1.0 million shares for $42 million and 1.4 million shares for $72 million, respectively. As of June 30, 2026, approximately $1.7 billion remained available for repurchase under the program.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(11)    Segment Information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financial performance based on the following segments: Banking Solutions, Capital Market Solutions and Corporate and Other. Below is a summary of each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Company's acquisition of the Issuer Solutions Business, the Company reassessed its reportable segments and included the Issuer Solutions Business within the Banking Solutions segment. In connection with this reassessment, the Company also reclassified certain businesses among the Banking Solutions, Capital Market Solutions, and Corporate and Other segments. All prior</w:t>
        <w:noBreakHyphen/>
        <w:t>period segment information was recast to conform to the Company's revised reportable segment presentation.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Banking Solutions ("Banking")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Banking segment is focused on serving financial institutions with core processing software, transaction processing software and complementary applications and services, many of which interact directly with core processing software. We sell these solutions on either a bundled or stand-alone basis. Clients in this segment include global financial institutions, U.S. regional and community banks, credit unions and commercial lenders, as well as government institutions and other commercial organizations. We provide our clients integrated solutions characterized by multi-year processing contracts that generate recurring revenue. The predictable nature of cash flows generated from the Banking segment provides opportunities for further investments in innovation, integration, information and security, and compliance in a cost-effective manner.</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Market Solutions ("Capital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Capital Markets segment is focused on serving global financial services clients and multi-national corporations with a broad array of buy- and sell-side, treasury, risk management and lending solutions. Clients in this segment include asset managers, private equity firms, sell-side securities brokerage and trading firms, insurers, asset and auto financiers and other commercial organizations. Our solutions include a variety of mission-critical buy- and sell-side applications for recordkeeping, data and analytics, trading and financing as well as corporate treasury and risk management applications. Capital Markets clients purchase our solutions in various ways including licensing and managing technology "in-house," using consulting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service providers, as well as procuring fully outsourced end-to-end solutions. Our long-established relationships with many of these financial and commercial institutions generate significant recurring revenue. We have made, and continue to make, investments in modern platforms, advanced technologies, open APIs, machine learning and artificial intelligence, and regulatory technology to support our Capital Markets clients.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Corporate and Other segment consists of corporate overhead expense, certain leveraged functions and miscellaneous expenses that are not included in the operating segments, as well as certain non-strategic businesses. The overhead and leveraged costs relate to corporate marketing, finance, accounting, human resources, legal, compliance and internal audit functions, as well as other costs, such as impairments, acquisition, integration and transformation-related expenses, and amortization of acquisition-related intangibles, that are not considered when management evaluates revenue-generating segment performance. Our other operating income recorded in connection with the TSA and Global Payments rTSA is also recorded in Corporate and Other. In the Corporate and Other segment, the Company recorded acquisition, integration and other costs comprised of the following (in millions):</w:t>
      </w:r>
    </w:p>
    <w:tbl>
      <w:tblPr>
        <w:tblW w:w="8112" w:type="dxa"/>
        <w:jc w:val="left"/>
        <w:tblInd w:w="0" w:type="dxa"/>
        <w:tblLayout w:type="fixed"/>
        <w:tblCellMar>
          <w:top w:w="28" w:type="dxa"/>
          <w:left w:w="28" w:type="dxa"/>
          <w:bottom w:w="28" w:type="dxa"/>
          <w:right w:w="28" w:type="dxa"/>
        </w:tblCellMar>
      </w:tblPr>
      <w:tblGrid>
        <w:gridCol w:w="1304"/>
        <w:gridCol w:w="1146"/>
        <w:gridCol w:w="1149"/>
        <w:gridCol w:w="109"/>
        <w:gridCol w:w="109"/>
        <w:gridCol w:w="109"/>
        <w:gridCol w:w="211"/>
        <w:gridCol w:w="466"/>
        <w:gridCol w:w="109"/>
        <w:gridCol w:w="109"/>
        <w:gridCol w:w="109"/>
        <w:gridCol w:w="109"/>
        <w:gridCol w:w="213"/>
        <w:gridCol w:w="471"/>
        <w:gridCol w:w="110"/>
        <w:gridCol w:w="109"/>
        <w:gridCol w:w="109"/>
        <w:gridCol w:w="109"/>
        <w:gridCol w:w="211"/>
        <w:gridCol w:w="466"/>
        <w:gridCol w:w="109"/>
        <w:gridCol w:w="109"/>
        <w:gridCol w:w="109"/>
        <w:gridCol w:w="109"/>
        <w:gridCol w:w="213"/>
        <w:gridCol w:w="471"/>
        <w:gridCol w:w="155"/>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M&amp;A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transformation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(1)2025 amounts have been reclassified to conform to current-period presentation.</w:t>
      </w:r>
    </w:p>
    <w:p>
      <w:pPr>
        <w:pStyle w:val="TextBody"/>
        <w:bidi w:val="0"/>
        <w:spacing w:lineRule="auto" w:line="288" w:before="0" w:after="0"/>
        <w:ind w:left="0" w:right="0" w:hanging="360"/>
        <w:jc w:val="left"/>
        <w:rPr/>
      </w:pPr>
      <w:r>
        <w:rPr>
          <w:rFonts w:ascii="Times New Roman;serif" w:hAnsi="Times New Roman;serif"/>
          <w:b w:val="false"/>
          <w:color w:val="000000"/>
          <w:sz w:val="16"/>
        </w:rPr>
        <w:t>(2)During the three and six months ended June 30, 2026 and 2025, the Company incurred severance and related termination benefit costs totaling $107 million and $135 million and $46 million and $105 million, respectively, related primarily to its enterprise transformation initiatives and made corresponding cash payments of $21 million and $67 million and $38 million and $78 million, respectively. These amounts are included in Selling, general, and administrative expenses in the consolidated statements of earnings (loss). These costs are accounted for in accordance with ASC 712, </w:t>
      </w:r>
      <w:r>
        <w:rPr>
          <w:rFonts w:ascii="Times New Roman;serif" w:hAnsi="Times New Roman;serif"/>
          <w:b w:val="false"/>
          <w:i/>
          <w:color w:val="000000"/>
          <w:sz w:val="16"/>
        </w:rPr>
        <w:t>Compensation–Nonretirement Postemployment Benefits</w:t>
      </w:r>
      <w:r>
        <w:rPr>
          <w:rFonts w:ascii="Times New Roman;serif" w:hAnsi="Times New Roman;serif"/>
          <w:b w:val="false"/>
          <w:color w:val="000000"/>
          <w:sz w:val="16"/>
        </w:rPr>
        <w:t>. The Company continues to evaluate its organizational structure and expects to incur additional severance costs in the second half of 2026.</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Adjusted EBITDA is a measure of segment profit or loss that is reported to the chief operating decision maker, the Company's Chief Executive Officer and President, who utilizes the measure for purposes of making decisions about allocating resources to the segments and assessing their performance. For this reason, Adjusted EBITDA, as it relates to our segments, is presented in conformity with FASB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Adjusted EBITDA is defined as net earnings (loss) before net interest expense, net other income (expense), income tax provision (benefit), equity method investment earnings (loss), and depreciation and amortization, and excludes certain costs that do not constitute normal, recurring, cash operating expenses necessary to operate our business. These excluded costs generally consist of the purchase price amortization of acquired intangible assets, as well as acquisition, integration and certain other costs and asset impairments. After adjusting for the foregoing items, our significant segment expenses consist of the following categories: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 cost of revenue, which consists primarily of the cost of shipping, equipment, third-party data processing, loyalty program redemptions, printing, and card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personnel costs, which consist primarily of employee compensation and benefits expense and third-party labor and outsourcing costs, net of capitalized amounts;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Infrastructure costs, which consist primarily of software, hardware, facilities and network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Allocated costs, which consist primarily of shared infrastructure and related operational personnel costs, as well as leveraged sales personnel costs, that are allocated to Banking and Capital Markets from Corporate and Other according to estimated usage; and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costs, which consist primarily of the cost of third-party consulting and advisory services, employee travel and training, marketing, insurance, and bad debt, offset by TSA and Global Payments rTSA services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segments is shown in the following tables. The Company does not evaluate performance or allocate resources based on segment asset data; therefore, such information is not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 millions):</w:t>
      </w:r>
    </w:p>
    <w:p>
      <w:pPr>
        <w:pStyle w:val="TextBody"/>
        <w:bidi w:val="0"/>
        <w:spacing w:before="0" w:after="0"/>
        <w:jc w:val="left"/>
        <w:rPr/>
      </w:pPr>
      <w:r>
        <w:rPr/>
      </w:r>
    </w:p>
    <w:tbl>
      <w:tblPr>
        <w:tblW w:w="10033" w:type="dxa"/>
        <w:jc w:val="left"/>
        <w:tblInd w:w="0" w:type="dxa"/>
        <w:tblLayout w:type="fixed"/>
        <w:tblCellMar>
          <w:top w:w="28" w:type="dxa"/>
          <w:left w:w="28" w:type="dxa"/>
          <w:bottom w:w="28" w:type="dxa"/>
          <w:right w:w="28" w:type="dxa"/>
        </w:tblCellMar>
      </w:tblPr>
      <w:tblGrid>
        <w:gridCol w:w="1967"/>
        <w:gridCol w:w="1723"/>
        <w:gridCol w:w="1740"/>
        <w:gridCol w:w="196"/>
        <w:gridCol w:w="556"/>
        <w:gridCol w:w="109"/>
        <w:gridCol w:w="109"/>
        <w:gridCol w:w="109"/>
        <w:gridCol w:w="109"/>
        <w:gridCol w:w="206"/>
        <w:gridCol w:w="444"/>
        <w:gridCol w:w="116"/>
        <w:gridCol w:w="109"/>
        <w:gridCol w:w="109"/>
        <w:gridCol w:w="109"/>
        <w:gridCol w:w="230"/>
        <w:gridCol w:w="512"/>
        <w:gridCol w:w="129"/>
        <w:gridCol w:w="109"/>
        <w:gridCol w:w="109"/>
        <w:gridCol w:w="109"/>
        <w:gridCol w:w="196"/>
        <w:gridCol w:w="556"/>
        <w:gridCol w:w="109"/>
        <w:gridCol w:w="109"/>
        <w:gridCol w:w="154"/>
      </w:tblGrid>
      <w:tr>
        <w:trPr/>
        <w:tc>
          <w:tcPr>
            <w:tcW w:w="196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attributable to FIS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$45 million of certain hardware and software purchases subject to financing or other long-term payment arrangements.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(in millions):</w:t>
      </w:r>
    </w:p>
    <w:p>
      <w:pPr>
        <w:pStyle w:val="TextBody"/>
        <w:bidi w:val="0"/>
        <w:spacing w:before="0" w:after="0"/>
        <w:jc w:val="left"/>
        <w:rPr/>
      </w:pPr>
      <w:r>
        <w:rPr/>
      </w:r>
    </w:p>
    <w:tbl>
      <w:tblPr>
        <w:tblW w:w="10033" w:type="dxa"/>
        <w:jc w:val="left"/>
        <w:tblInd w:w="0" w:type="dxa"/>
        <w:tblLayout w:type="fixed"/>
        <w:tblCellMar>
          <w:top w:w="28" w:type="dxa"/>
          <w:left w:w="28" w:type="dxa"/>
          <w:bottom w:w="28" w:type="dxa"/>
          <w:right w:w="28" w:type="dxa"/>
        </w:tblCellMar>
      </w:tblPr>
      <w:tblGrid>
        <w:gridCol w:w="1968"/>
        <w:gridCol w:w="1723"/>
        <w:gridCol w:w="1739"/>
        <w:gridCol w:w="196"/>
        <w:gridCol w:w="556"/>
        <w:gridCol w:w="109"/>
        <w:gridCol w:w="109"/>
        <w:gridCol w:w="109"/>
        <w:gridCol w:w="109"/>
        <w:gridCol w:w="206"/>
        <w:gridCol w:w="444"/>
        <w:gridCol w:w="116"/>
        <w:gridCol w:w="109"/>
        <w:gridCol w:w="109"/>
        <w:gridCol w:w="109"/>
        <w:gridCol w:w="230"/>
        <w:gridCol w:w="512"/>
        <w:gridCol w:w="129"/>
        <w:gridCol w:w="109"/>
        <w:gridCol w:w="109"/>
        <w:gridCol w:w="109"/>
        <w:gridCol w:w="196"/>
        <w:gridCol w:w="556"/>
        <w:gridCol w:w="109"/>
        <w:gridCol w:w="109"/>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earnings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FIS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$20 million of certain hardware and software purchases subject to financing or other long-term payment arrangements.</w:t>
      </w:r>
    </w:p>
    <w:p>
      <w:pPr>
        <w:pStyle w:val="TextBody"/>
        <w:bidi w:val="0"/>
        <w:spacing w:before="0" w:after="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(in millions):</w:t>
      </w:r>
    </w:p>
    <w:p>
      <w:pPr>
        <w:pStyle w:val="TextBody"/>
        <w:bidi w:val="0"/>
        <w:spacing w:before="0" w:after="0"/>
        <w:ind w:left="0" w:right="0" w:firstLine="360"/>
        <w:jc w:val="left"/>
        <w:rPr/>
      </w:pPr>
      <w:r>
        <w:rPr/>
      </w:r>
    </w:p>
    <w:tbl>
      <w:tblPr>
        <w:tblW w:w="10128" w:type="dxa"/>
        <w:jc w:val="left"/>
        <w:tblInd w:w="0" w:type="dxa"/>
        <w:tblLayout w:type="fixed"/>
        <w:tblCellMar>
          <w:top w:w="28" w:type="dxa"/>
          <w:left w:w="28" w:type="dxa"/>
          <w:bottom w:w="28" w:type="dxa"/>
          <w:right w:w="28" w:type="dxa"/>
        </w:tblCellMar>
      </w:tblPr>
      <w:tblGrid>
        <w:gridCol w:w="1967"/>
        <w:gridCol w:w="1724"/>
        <w:gridCol w:w="1739"/>
        <w:gridCol w:w="196"/>
        <w:gridCol w:w="556"/>
        <w:gridCol w:w="109"/>
        <w:gridCol w:w="109"/>
        <w:gridCol w:w="109"/>
        <w:gridCol w:w="109"/>
        <w:gridCol w:w="196"/>
        <w:gridCol w:w="556"/>
        <w:gridCol w:w="109"/>
        <w:gridCol w:w="109"/>
        <w:gridCol w:w="109"/>
        <w:gridCol w:w="109"/>
        <w:gridCol w:w="230"/>
        <w:gridCol w:w="512"/>
        <w:gridCol w:w="129"/>
        <w:gridCol w:w="109"/>
        <w:gridCol w:w="109"/>
        <w:gridCol w:w="109"/>
        <w:gridCol w:w="196"/>
        <w:gridCol w:w="556"/>
        <w:gridCol w:w="109"/>
        <w:gridCol w:w="109"/>
        <w:gridCol w:w="154"/>
      </w:tblGrid>
      <w:tr>
        <w:trPr/>
        <w:tc>
          <w:tcPr>
            <w:tcW w:w="1967"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earnings (loss), net of tax</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attributable to FIS common stockholders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62"/>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$208 million of certain hardware and software purchases subject to financing or other long-term payment arrangements.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0" w:after="0"/>
        <w:ind w:left="0" w:right="0" w:firstLine="262"/>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(in millions):</w:t>
      </w:r>
    </w:p>
    <w:p>
      <w:pPr>
        <w:pStyle w:val="TextBody"/>
        <w:bidi w:val="0"/>
        <w:spacing w:before="0" w:after="0"/>
        <w:ind w:left="0" w:right="0" w:firstLine="262"/>
        <w:jc w:val="left"/>
        <w:rPr/>
      </w:pPr>
      <w:r>
        <w:rPr/>
      </w:r>
    </w:p>
    <w:tbl>
      <w:tblPr>
        <w:tblW w:w="10128" w:type="dxa"/>
        <w:jc w:val="left"/>
        <w:tblInd w:w="0" w:type="dxa"/>
        <w:tblLayout w:type="fixed"/>
        <w:tblCellMar>
          <w:top w:w="28" w:type="dxa"/>
          <w:left w:w="28" w:type="dxa"/>
          <w:bottom w:w="28" w:type="dxa"/>
          <w:right w:w="28" w:type="dxa"/>
        </w:tblCellMar>
      </w:tblPr>
      <w:tblGrid>
        <w:gridCol w:w="1967"/>
        <w:gridCol w:w="1723"/>
        <w:gridCol w:w="1740"/>
        <w:gridCol w:w="196"/>
        <w:gridCol w:w="556"/>
        <w:gridCol w:w="109"/>
        <w:gridCol w:w="109"/>
        <w:gridCol w:w="109"/>
        <w:gridCol w:w="109"/>
        <w:gridCol w:w="196"/>
        <w:gridCol w:w="556"/>
        <w:gridCol w:w="109"/>
        <w:gridCol w:w="109"/>
        <w:gridCol w:w="109"/>
        <w:gridCol w:w="109"/>
        <w:gridCol w:w="230"/>
        <w:gridCol w:w="512"/>
        <w:gridCol w:w="129"/>
        <w:gridCol w:w="109"/>
        <w:gridCol w:w="109"/>
        <w:gridCol w:w="109"/>
        <w:gridCol w:w="196"/>
        <w:gridCol w:w="556"/>
        <w:gridCol w:w="109"/>
        <w:gridCol w:w="109"/>
        <w:gridCol w:w="154"/>
      </w:tblGrid>
      <w:tr>
        <w:trPr/>
        <w:tc>
          <w:tcPr>
            <w:tcW w:w="196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earnings (loss), net of tax</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FIS common stockholders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$97 million of certain hardware and software purchases subject to financing or other long-term payment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assets, excluding goodwill and other intangible assets, located outside of the United States totaled $1,104 million and $857 million as of June 30, 2026, and December 31, 2025, respectively. These assets are predominantly located in the United Kingdom, Ireland, Germany, Australia, India and Sweden.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Unless stated otherwise or the context otherwise requires, all references to "FIS," "we," "our," "us," the "Company" or the "registrant" are to Fidelity National Information Services, Inc., a Georgia corporation, and its subsidiaries.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The following discussion should be read in conjunction with Item 1. Condensed Consolidated Financial Statements (Unaudited) and the Notes thereto included elsewhere in this report. The statements contained in this Form 10-Q or in our other documents or in oral presentations or other management statements that are not purely historical are forward-looking statements within the meaning of the U.S. federal securities laws. Statements that are not historical facts, as well as other statements about our expectations, beliefs, intentions, or strategies regarding the future, or other characterizations of future events or circumstances, are forward-looking statements. Forward-looking statements include statements about anticipated financial outcomes, including any earnings outlook or projections, projected revenue or expense synergies or dis-synergies, business and market conditions, outlook, foreign currency exchange rates, deleveraging plans, expected dividends and share repurchases of the Company, the Company's sales pipeline and anticipated profitability and growth, plans, strategies and objectives for future operations, strategic value creation, risk profile and investment strategies, any statements regarding future economic conditions or performance and any statements with respect to the future impacts of the recently completed acquisition of the Issuer Solutions Business, which has been rebranded as FIS Total Issuing</w:t>
      </w:r>
      <w:r>
        <w:rPr>
          <w:color w:val="008080"/>
        </w:rPr>
        <w:t>™</w:t>
      </w:r>
      <w:r>
        <w:rPr>
          <w:color w:val="000000"/>
        </w:rPr>
        <w:t xml:space="preserve"> </w:t>
      </w:r>
      <w:r>
        <w:rPr>
          <w:rFonts w:ascii="Times New Roman;serif" w:hAnsi="Times New Roman;serif"/>
          <w:b w:val="false"/>
          <w:color w:val="000000"/>
          <w:sz w:val="20"/>
        </w:rPr>
        <w:t>Solutions. These statements may be identified by words such as "expect," "anticipate," "intend," "plan," "believe," "will," "should," "could," "would," "project," "continue," "likely," and similar expressions, and include statements reflecting future results or outlook, statements of outlook and various accruals and estimates. These statements relate to future events and our future results and involve a number of risks and uncertainties. Forward-looking statements are based on management's beliefs as well as assumptions made by, and information currently available to, management.</w:t>
      </w:r>
    </w:p>
    <w:p>
      <w:pPr>
        <w:pStyle w:val="TextBody"/>
        <w:bidi w:val="0"/>
        <w:spacing w:before="0" w:after="0"/>
        <w:ind w:left="0" w:right="0" w:firstLine="31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Actual results, performance or achievement could differ materially from these forward-looking statements. The risks and uncertainties to which forward-looking statements are subject include the following, without limitation: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general economic, business and political conditions, a recession, intensified or expanded international hostilities, acts of terrorism, fluctuations in rates of inflation or interest, effects of announced or future tariff increases and any resulting regulatory changes in global trade relations and changes in consumer or business confidence;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either or both the United States and international lending, capital and financial markets or currency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 that acquired businesses, including FIS Total Issuing</w:t>
      </w:r>
      <w:r>
        <w:rPr>
          <w:color w:val="008080"/>
        </w:rPr>
        <w:t>™</w:t>
      </w:r>
      <w:r>
        <w:rPr>
          <w:color w:val="000000"/>
        </w:rPr>
        <w:t xml:space="preserve"> </w:t>
      </w:r>
      <w:r>
        <w:rPr>
          <w:rFonts w:ascii="Times New Roman;serif" w:hAnsi="Times New Roman;serif"/>
          <w:b w:val="false"/>
          <w:color w:val="000000"/>
          <w:sz w:val="20"/>
        </w:rPr>
        <w:t>Solutions, will not be integrated successfully, will not provide the expected benefits, or that the integration will be more costly or more time-consuming and complex than anticipated;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 that cost savings and synergies anticipated to be realized from acquisitions, including the Issuer Solutions Acquisition, may not be fully realized or may take longer to realize than expected or that costs may be greater than anticipated;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of doing business internationally;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effect of legislative initiatives or proposals, statutory changes, governmental or applicable regulations and/or changes in industry requirements, including privacy, data protection, cybersecurity, cyber resilience and AI laws and regulations;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climate change legal and regulatory requirements and to maintain practices that meet our stakeholders' evolving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the growth rates of the markets for our solutions;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declaration and payment of future dividends is at the discretion of our Board of Directors and depends on, among other things, our investment opportunities, results of operations, financial condition, cash requirements, future prospects, and other factors that may be considered relevant by our Board of Directors, including legal and contractual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and timing of any future share repurchases is subject to, among other things, our share price, our other investment opportunities and cash requirements, our results of operations and financial condition, our future prospects and other factors that may be considered relevant by our Board of Directors and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failures to adapt our solutions to changes in technology or in the marketplace;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internal or external security or privacy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risk that implementation of software, including software updates, for customers or at customer locations or employee error in monitoring our software and platforms may result in the corruption or loss of data or customer information, interruption of business operations, outages, exposure to liability claims or loss of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 that partners and third parties may fail to satisfy their legal obligations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managing pension cost, cybersecurity issues, and IT outages experienced;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navigate the opportunities and risks associated with using and/or incorporating AI technologies into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reaction of current and potential customers to communications from us or regulators regarding information security, risk management, internal audit or other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failure to innovate in order to keep up with new emerging technologies, which could impact our solutions and our ability to attract new, or retain existing,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operational or natural disaster at one of our major operations centers;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comply with applicable requirements of payment networks or changes in those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fraud by bad actors;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risks detailed elsewhere in the "Risk Factors" section and other sections of this report, and in our other filings with the SEC.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About FIS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is a financial technology company providing solutions to financial institutions, businesses and developers. We unlock financial technology to the world across the money lifecycle underpinning the world's financial systems. Our people are dedicated to advancing the way the world pays, banks and invests, by helping our clients to confidently run, grow and protect their businesses. Our expertise comes from decades of experience helping financial institutions and businesses of all sizes adapt to meet the needs of their customers by harnessing where reliability meets innovation in financial technology. Headquartered in Jacksonville, Florida, FIS is a member of the Fortune 500® and the Standard &amp; Poor's 500® Index. FIS is incorporated under the laws of the State of Georgia as Fidelity National Information Services, Inc., and our stock is traded under the trading symbol "FIS" on the New York Stock Exchange.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Growth and Strategy Objectives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growth continues to be driven by the expansion of our clients' businesses, our internal development of innovative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solutions, our focused sales and marketing efforts and our deepening reach across global financial ecosystems. Strategic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and partnerships have further enhanced our offerings, diversified our client portfolio, and expanded our reach into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and attractive markets aligned with our long-term objectives. As we advance our transformation into a platform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embedding artificial intelligence ("AI") across our solutions and operations. We have shifted to a functional operating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model, streamlining decision-making, fostering closer collaboration across the organization and with our clients. By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reallocating resources toward high-value, integrated client experiences and modernizing our technology infrastructure, we 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strengthening our competitive position and operational resilience.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Worldpay Sale and Issuer Solutions Acquisition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31, 2024, we completed the sale (the "2024 Worldpay Sale") of a 55% equity interest in our Worldpay Merchant Solutions business to private equity funds managed by GTCR, LLC (such funds, the "Buyer"). FIS retained a non-controlling 45% equity interest in a new standalone joint venture, Worldpay Holdco, LLC ("Worldpay"), following the closing of the 2024 Worldpay Sale. In connection with the 2024 Worldpay Sale, FIS and Worldpay entered into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agreements, preserving a key value proposition for clients of both businesses and reducing potential dis-synergies. FIS and Worldpay also entered into additional agreements as described in Note 2 to the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17, 2025, FIS entered into definitive agreements to (i) buy the Issuer Solutions business (the "Issuer Solutions Business") from Global Payments Inc. ("Global Payments") (the "Issuer Solutions Acquisition") and (ii) sell its remaining equity interest in Worldpay to Global Payments (the "2026 Worldpay Minority Interest Sale"). The transaction closed on January 9, 2026. We funded the Issuer Solutions Acquisition through a combination of approximately $7.7 billion of new debt and the 2026 Worldpay Minority Interest Sale.</w:t>
      </w:r>
    </w:p>
    <w:p>
      <w:pPr>
        <w:pStyle w:val="TextBody"/>
        <w:bidi w:val="0"/>
        <w:spacing w:before="0" w:after="0"/>
        <w:ind w:left="0" w:right="0" w:firstLine="36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Business Trends and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Sources and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from continuing operations is primarily derived from a combination of technology and processing solutions, transaction processing fees, professional services and software license fees. While we are a global company and do business around the world, the majority of our revenue is generated by clients in the U.S. The majority of our international revenue is generated by clients in the United Kingdom, Canada, Germany, Australia, India, and Ireland. In addition, the majority of our revenue has historically been recurring under multi-year Banking and Capital Markets contracts that contribute relative stability to our revenue stream. These solutions, in general, are considered critical to our clients' operations. Professional services revenue is typically non-recurring, though recognition often occurs over time rather than at a point in time. Sales of software licenses are typically non-recurring with point-in-time recognition and are less predictable.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Economic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We continue to experience relatively stable sales cycles and levels of client activity across our businesses. While inflation remains elevated on a multi-year basis, recent inflation levels in our primary markets have moderated compared to the peak levels observed over the past several years. However, we have experienced, and continue to experience, significant cost increases from vendors, and market conditions limit our ability to fully offset these increases through pricing actions. Relatively high interest rates have had, and may continue to have, a negative impact on our interest expense. During 2024, we used a portion of the net proceeds from the 2024 Worldpay Sale to repay our borrowings under our commercial paper programs and reduce our long-term debt, which decreased our interest expense from previous levels. However, we incurred approximately $7.7 billion of new debt upon closing of the Issuer Solutions Acquisition in the first quarter of 2026, as further discussed in Note 7 to the consolidated financial statements, which will increase our interest expense in 2026. Given the volatility of exchange rates and the mix of currencies involved in both revenues and expenses, the direction and magnitude of future effects of currency fluctuations are uncertain. </w:t>
      </w:r>
      <w:r>
        <w:rPr>
          <w:rFonts w:ascii="Times New Roman;serif" w:hAnsi="Times New Roman;serif"/>
          <w:b w:val="false"/>
          <w:color w:val="000000"/>
          <w:sz w:val="20"/>
          <w:shd w:fill="FFFFFF" w:val="clear"/>
        </w:rPr>
        <w:t xml:space="preserve">We continue to monitor the potential impacts of recently enacted and potential future tariff regimes in the U.S. and internationally. As of June 30, 2026, tariffs have not had a significant impact on our financial condition or results of operations.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2026 Worldpay Minority Interest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2026 Worldpay Minority Interest Sale, we recorded as part of Equity method investment earnings (loss) an estimated pre-tax gain of $2.2 billion in the first quarter of 2026, representing the excess of the net selling price over the carrying value of the Worldpay equity method investment as of the date of closing, adjusted for the impact of our share of Worldpay's cumulative translation adjustments recorded in accumulated other comprehensive earnings (loss). In addition, we recorded as part of Equity method investment earnings (loss) estimated tax expense of $44 million, which is net of the reversal of our Worldpay equity method investment deferred tax liability as of January 8, 2026. Post-closing purchase price adjustments and completion of other purchase agreement provisions in connection with the 2026 Worldpay Minority Interest Sale could result in further adjustments to the estimated gain on sale and related tax expense. The final gain could differ materially from the current estimate.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Investments in Innovation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assist financial institutions and other businesses in migrating to outsourced integrated technology solutions to improve their profitability and address increasing and ongoing regulatory requirements. We believe our integrated solutions and outsourced services are well-positioned to address this outsourcing trend across the markets we serve.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invest in modernization, innovation and integrated solutions to meet the demands of the markets we serve and to compete with global banks, financial and other technology providers, and emerging technology innovators. We invest both internally and through investment opportunities in companies building complementary technologies in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services space. Our internal development activities have related primarily to the modernization of our proprietary core systems in each of our segments, design and development of next-generation digital and innovative solutions and development of processing systems and related software applications and risk management platforms. We expect to continue to invest an appropriate level of resources to maintain, enhance and extend the functionality of our proprietary systems and existing software applications, to develop new and innovative software applications and systems to address emerging technology trends in response to the needs of our clients, and to enhance the capabilities of our outsourcing infrastructure.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Digital One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Consumer preference, particularly in younger generations, continues to shift to digital-first banking solutions. It is increasingly clear that a priority for our clients is to provide a unified, engaging and inclusive banking experience powered by digital capabilities across all channels and customer activities. Our Digital One platform helps our clients, from top-tier large financial institutions with over $10 billion in assets to top-tier and mid-tier community banks, provide a set of modern digital solutions to support all customer types, including retail consumers, sole proprietors, small businesses and large corporations, through any channel, including desktop, tablet, smartphone, and branch. The uniform customer experience extends to support a broad range of financial services including opening new accounts, servicing existing accounts, money movement, and personal financial management, as well as other consumer, small business and commercial banking capabilities. The Digital One platform is host-agnostic, and our digital suite has been enabled across multiple FIS core banking platforms, including IBS, Horizon, Modern Banking Platform, AffinityEdge, and Systematics, in addition to non-FIS platforms run by banking financial institutions that demand market-leading digital capabilities.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Banking Industry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continued consolidation within the banking industry, primarily in the form of merger and acquisition activity among financial institutions, which generally increases competition among financial technology providers. However, consolidation resulting from specific merger and acquisition transactions may be beneficial to our business. When consolidations of financial institutions occur, merger partners often operate systems obtained from competing service providers. The newly formed entity generally makes a determination to migrate its core and payments systems to a single platform. When a financial institution processing client is involved in a consolidation, we may benefit if the client retains our solutions and expands the use of them following the consolidation to support the newly combined entity. Conversely, we may lose revenue if our solutions are not chosen to support the newly combined entity. It is also possible that larger financial institutions resulting from consolidation may have greater leverage in negotiating terms or could decide to perform in-house some or all of the solutions that we currently provide or could provide. We seek to mitigate the risks of consolidations by offering other competitive solutions to take advantage of specific opportunities at the surviving company.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Demand in the Payments Market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see demand in the payments market for innovative solutions that will deliver faster, more convenient payment options in mobile channels, internet applications, in-store cards, and digital currencies. The payment processing industry is adopting new technologies, developing new solutions, evolving new business models, and is being affected by new market entrants and by an evolving regulatory environment. As financial institutions respond to these changes by seeking solutions to help them enhance their own offerings to consumers, including the ability to accept card-not-present payments in eCommerce and mobile environments, as well as contactless cards and mobile wallets at the point of sale, FIS believes that payment processors will seek to develop additional capabilities in order to serve clients' evolving needs. To facilitate this expansion, we believe that payment processors will need to enhance their technology platforms so they can deliver these capabilities and differentiate their offerings from other providers.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these market changes present both an opportunity and a risk for us, and we cannot predict which emerging technologies or solutions will be successful. However, FIS believes that payment processors, like FIS, that have scalable, integrated business models, provide solutions across the payment processing value chain and utilize broad distribution capabilities will be best-positioned to enable emerging alternative electronic payment technologies in the long term. Further, FIS believes that its depth of capabilities and breadth of distribution will enhance its position as emerging payment technologies are adopted by merchants and other businesses. FIS' ability to partner with non-financial institution enterprises, such as mobile payment providers and internet, retail and social media companies, continues to create attractive growth opportunities as these new entrants seek to become more active participants in the development of alternative electronic payment technologies and to facilitate the convergence of retail, online, mobile and social commerce applications.</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Cybersecurity Threats and Solutions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on information technology systems and the vendors and technological supply chain on which they rely continue to grow in frequency, complexity and sophistication, including the increasing use of AI by threat actors and the potential targeting of entities like FIS for the purposes of disruption of services or financial gain. Technical solutions that serve many customers are increasingly becoming targets of these kinds of attacks, including direct attacks on our supply chain partners, or our clients. This is a trend we expect to continue with widespread impacts. The continued growth in the frequency, complexity and sophistication of cyberattacks, coupled with the continued interconnection in the global technology ecosystem, present both a threat and an opportunity for FIS. Using expertise we have gained from our ongoing focus and investment, we have developed and we offer fraud, security, risk management and compliance solutions to target this growth opportunity in the financial services industry. We also use certain of these solutions to manage our own risks.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policies and estimates as disclosed in our Annual Report on Form 10-K for the year ended December 31,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 - Comparisons of three-month and six-month periods ended June 30, 2026 and 2025</w:t>
      </w:r>
    </w:p>
    <w:tbl>
      <w:tblPr>
        <w:tblW w:w="10448" w:type="dxa"/>
        <w:jc w:val="left"/>
        <w:tblInd w:w="0" w:type="dxa"/>
        <w:tblLayout w:type="fixed"/>
        <w:tblCellMar>
          <w:top w:w="28" w:type="dxa"/>
          <w:left w:w="28" w:type="dxa"/>
          <w:bottom w:w="28" w:type="dxa"/>
          <w:right w:w="28" w:type="dxa"/>
        </w:tblCellMar>
      </w:tblPr>
      <w:tblGrid>
        <w:gridCol w:w="553"/>
        <w:gridCol w:w="322"/>
        <w:gridCol w:w="236"/>
        <w:gridCol w:w="196"/>
        <w:gridCol w:w="556"/>
        <w:gridCol w:w="256"/>
        <w:gridCol w:w="109"/>
        <w:gridCol w:w="109"/>
        <w:gridCol w:w="109"/>
        <w:gridCol w:w="196"/>
        <w:gridCol w:w="556"/>
        <w:gridCol w:w="256"/>
        <w:gridCol w:w="109"/>
        <w:gridCol w:w="109"/>
        <w:gridCol w:w="109"/>
        <w:gridCol w:w="196"/>
        <w:gridCol w:w="421"/>
        <w:gridCol w:w="109"/>
        <w:gridCol w:w="109"/>
        <w:gridCol w:w="109"/>
        <w:gridCol w:w="109"/>
        <w:gridCol w:w="165"/>
        <w:gridCol w:w="166"/>
        <w:gridCol w:w="357"/>
        <w:gridCol w:w="109"/>
        <w:gridCol w:w="109"/>
        <w:gridCol w:w="109"/>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165"/>
        <w:gridCol w:w="166"/>
        <w:gridCol w:w="410"/>
      </w:tblGrid>
      <w:tr>
        <w:trPr/>
        <w:tc>
          <w:tcPr>
            <w:tcW w:w="5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 net (including related-party transactions of $28 and $56 for the three- and six-month periods ended June 30, 2025,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75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2026, increased primarily due to the revenue generated by the Issuer Solutions Business, which was acquired on January 9, 2026. See "Segment Results of Operations" below for a more detailed explanation.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Revenue, Gross Profit and Gross Profit Margin</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for the three and six months ended June 30, 2026, increased primarily due to expenses associated with the acquisition of the Issuer Solutions Business. Gross profit for the three and six months ended June 30, 2026, increased primarily driven by the revenue increases noted above. Gross profit margin for the three and six months ended June 30, 2026, decreased due to the dilutive impact of the Issuer Solutions Business, including the amortization of acquired intangible assets.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i/>
          <w:color w:val="000000"/>
          <w:sz w:val="20"/>
        </w:rPr>
        <w:t>Selling</w:t>
      </w:r>
      <w:r>
        <w:rPr>
          <w:rFonts w:ascii="Times New Roman;serif" w:hAnsi="Times New Roman;serif"/>
          <w:b/>
          <w:color w:val="000000"/>
          <w:sz w:val="20"/>
        </w:rPr>
        <w:t xml:space="preserve">, </w:t>
      </w:r>
      <w:r>
        <w:rPr>
          <w:rFonts w:ascii="Times New Roman;serif" w:hAnsi="Times New Roman;serif"/>
          <w:b/>
          <w:i/>
          <w:color w:val="000000"/>
          <w:sz w:val="20"/>
        </w:rPr>
        <w:t>General and Administrative Expenses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and six months ended June 30, 2026, increased primarily due to the expenses of the Issuer Solutions Business, which was acquired on January 9, 2026, partially offset by the benefits of continued cost management.</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 Impairments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asset impairments during the three months ended June 30, 2026. Asset impairments for the six months ended June 30, 2026, were primarily related to software impairment charges, which were driven by the rationalization of certain software assets following a strategic realignment.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Operating (Income) Expense, Net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the TSA and the Global Payments rTSA, during the three- and six-month periods ended June 30, 2026 and 2025, the Company provided technology and other support services to Worldpay and Global Payments. The income received for these services is recorded in Other operating (income) expense, net, and the corresponding expenses are recognized in Cost of revenue and Selling, general and administrative expense in the consolidated statements of earnings (loss). Net TSA income decreased from 2025 to 2026 primarily as a result of winding down certain of the TSA services, partially offset by the commencement of the Global Payments rTSA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Income and Operating Margin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operating income and operating margin for the three and six months ended June 30, 2026, resulted from the revenue and cost variances noted above.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Other Income (Expense), Net</w:t>
      </w:r>
    </w:p>
    <w:tbl>
      <w:tblPr>
        <w:tblW w:w="10205" w:type="dxa"/>
        <w:jc w:val="left"/>
        <w:tblInd w:w="0" w:type="dxa"/>
        <w:tblLayout w:type="fixed"/>
        <w:tblCellMar>
          <w:top w:w="28" w:type="dxa"/>
          <w:left w:w="28" w:type="dxa"/>
          <w:bottom w:w="28" w:type="dxa"/>
          <w:right w:w="28" w:type="dxa"/>
        </w:tblCellMar>
      </w:tblPr>
      <w:tblGrid>
        <w:gridCol w:w="566"/>
        <w:gridCol w:w="462"/>
        <w:gridCol w:w="464"/>
        <w:gridCol w:w="211"/>
        <w:gridCol w:w="499"/>
        <w:gridCol w:w="109"/>
        <w:gridCol w:w="109"/>
        <w:gridCol w:w="109"/>
        <w:gridCol w:w="109"/>
        <w:gridCol w:w="211"/>
        <w:gridCol w:w="499"/>
        <w:gridCol w:w="109"/>
        <w:gridCol w:w="109"/>
        <w:gridCol w:w="109"/>
        <w:gridCol w:w="109"/>
        <w:gridCol w:w="211"/>
        <w:gridCol w:w="432"/>
        <w:gridCol w:w="109"/>
        <w:gridCol w:w="109"/>
        <w:gridCol w:w="109"/>
        <w:gridCol w:w="109"/>
        <w:gridCol w:w="180"/>
        <w:gridCol w:w="181"/>
        <w:gridCol w:w="417"/>
        <w:gridCol w:w="109"/>
        <w:gridCol w:w="109"/>
        <w:gridCol w:w="109"/>
        <w:gridCol w:w="211"/>
        <w:gridCol w:w="499"/>
        <w:gridCol w:w="109"/>
        <w:gridCol w:w="109"/>
        <w:gridCol w:w="109"/>
        <w:gridCol w:w="109"/>
        <w:gridCol w:w="211"/>
        <w:gridCol w:w="499"/>
        <w:gridCol w:w="109"/>
        <w:gridCol w:w="109"/>
        <w:gridCol w:w="109"/>
        <w:gridCol w:w="109"/>
        <w:gridCol w:w="211"/>
        <w:gridCol w:w="499"/>
        <w:gridCol w:w="109"/>
        <w:gridCol w:w="109"/>
        <w:gridCol w:w="109"/>
        <w:gridCol w:w="109"/>
        <w:gridCol w:w="233"/>
        <w:gridCol w:w="233"/>
        <w:gridCol w:w="333"/>
      </w:tblGrid>
      <w:tr>
        <w:trPr/>
        <w:tc>
          <w:tcPr>
            <w:tcW w:w="5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(net) for the three and six months ended June 30, 2026, increased primarily due to a $7.7 billion increase in borrowings used to fund the Issuer Solutions Acquisition.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for the periods presented consists of various income and expense items outside of the Company's operating activities, including foreign currency transaction remeasurement gains and losses; realized and unrealized gains and losses on equity security investments, including impairment losses on these investments; and fair value adjustments on certain non-operating assets and liabilities, including certain derivatives, as further described in Note 8 to the consolidated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three-month period ended June 30, 2026, included the impact of changes in the fair value of interest rate swaps accounted for as economic hedges, foreign currency transaction remeasurement gains and losses, offset by a gain related to a change in the estimated fair value of acquisition related contingent consideration. The six-month period ended June 30, 2026, primarily included gains related to changes in the estimated fair value of acquisition-related contingent consideration. The three- and six-month periods ended June 30, 2025, included primarily the impact of a $(108) million write-off of the contingent consideration included as part of the 2024 Worldpay Sale, which write-off was triggered by the Transaction Agreement, and a change in the fair value of interest rate swaps accounted for as economic hedges, as well as foreign currency transaction remeasurement losses.</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2"/>
        <w:gridCol w:w="442"/>
        <w:gridCol w:w="444"/>
        <w:gridCol w:w="211"/>
        <w:gridCol w:w="361"/>
        <w:gridCol w:w="271"/>
        <w:gridCol w:w="109"/>
        <w:gridCol w:w="109"/>
        <w:gridCol w:w="109"/>
        <w:gridCol w:w="211"/>
        <w:gridCol w:w="361"/>
        <w:gridCol w:w="271"/>
        <w:gridCol w:w="109"/>
        <w:gridCol w:w="109"/>
        <w:gridCol w:w="109"/>
        <w:gridCol w:w="232"/>
        <w:gridCol w:w="398"/>
        <w:gridCol w:w="121"/>
        <w:gridCol w:w="109"/>
        <w:gridCol w:w="109"/>
        <w:gridCol w:w="109"/>
        <w:gridCol w:w="250"/>
        <w:gridCol w:w="250"/>
        <w:gridCol w:w="251"/>
        <w:gridCol w:w="109"/>
        <w:gridCol w:w="109"/>
        <w:gridCol w:w="109"/>
        <w:gridCol w:w="211"/>
        <w:gridCol w:w="466"/>
        <w:gridCol w:w="271"/>
        <w:gridCol w:w="109"/>
        <w:gridCol w:w="109"/>
        <w:gridCol w:w="109"/>
        <w:gridCol w:w="211"/>
        <w:gridCol w:w="361"/>
        <w:gridCol w:w="271"/>
        <w:gridCol w:w="109"/>
        <w:gridCol w:w="109"/>
        <w:gridCol w:w="109"/>
        <w:gridCol w:w="232"/>
        <w:gridCol w:w="398"/>
        <w:gridCol w:w="121"/>
        <w:gridCol w:w="109"/>
        <w:gridCol w:w="109"/>
        <w:gridCol w:w="109"/>
        <w:gridCol w:w="233"/>
        <w:gridCol w:w="233"/>
        <w:gridCol w:w="332"/>
      </w:tblGrid>
      <w:tr>
        <w:trPr/>
        <w:tc>
          <w:tcPr>
            <w:tcW w:w="50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7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ind w:left="0" w:right="0" w:firstLine="27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the effective tax rate for the three months ended June 30, 2026, was primarily driven by one-time discrete items in the comparative period that had a disproportionately large impact on the effective tax rate due to lower pre-tax earnings in the period ended June 30, 2025. For the six months ended June 30, 2026, the increase in the effective tax rate is primarily due to one-time discrete costs relating to a recent tax law development in one of our foreign jurisdictions. As described in Note 2 to the consolidated financial statements, the Company reflects its investor-level tax impact relating to equity method investments as a component of Equity method investment earnings (loss), net of tax in the consolidated statements of earnings (loss). Therefore, equity method investment earnings (loss) and the related investor-level tax are excluded from the calculation of FIS' annual effective tax rate.</w:t>
      </w:r>
    </w:p>
    <w:p>
      <w:pPr>
        <w:pStyle w:val="TextBody"/>
        <w:bidi w:val="0"/>
        <w:spacing w:before="0" w:after="0"/>
        <w:ind w:left="0" w:right="0" w:firstLine="27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Method Investment Earnings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6"/>
        <w:gridCol w:w="436"/>
        <w:gridCol w:w="437"/>
        <w:gridCol w:w="211"/>
        <w:gridCol w:w="406"/>
        <w:gridCol w:w="109"/>
        <w:gridCol w:w="109"/>
        <w:gridCol w:w="109"/>
        <w:gridCol w:w="109"/>
        <w:gridCol w:w="211"/>
        <w:gridCol w:w="487"/>
        <w:gridCol w:w="109"/>
        <w:gridCol w:w="109"/>
        <w:gridCol w:w="109"/>
        <w:gridCol w:w="109"/>
        <w:gridCol w:w="211"/>
        <w:gridCol w:w="466"/>
        <w:gridCol w:w="109"/>
        <w:gridCol w:w="109"/>
        <w:gridCol w:w="109"/>
        <w:gridCol w:w="109"/>
        <w:gridCol w:w="250"/>
        <w:gridCol w:w="250"/>
        <w:gridCol w:w="251"/>
        <w:gridCol w:w="109"/>
        <w:gridCol w:w="109"/>
        <w:gridCol w:w="109"/>
        <w:gridCol w:w="211"/>
        <w:gridCol w:w="616"/>
        <w:gridCol w:w="109"/>
        <w:gridCol w:w="109"/>
        <w:gridCol w:w="109"/>
        <w:gridCol w:w="109"/>
        <w:gridCol w:w="211"/>
        <w:gridCol w:w="487"/>
        <w:gridCol w:w="109"/>
        <w:gridCol w:w="109"/>
        <w:gridCol w:w="109"/>
        <w:gridCol w:w="109"/>
        <w:gridCol w:w="211"/>
        <w:gridCol w:w="616"/>
        <w:gridCol w:w="109"/>
        <w:gridCol w:w="109"/>
        <w:gridCol w:w="109"/>
        <w:gridCol w:w="109"/>
        <w:gridCol w:w="233"/>
        <w:gridCol w:w="233"/>
        <w:gridCol w:w="332"/>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completed the 2024 Worldpay Sale on January 31, 2024, retaining a non-controlling equity interest in Worldpay. Until the closing of the 2026 Worldpay Minority Interest Sale, we accounted for our 45% equity interest in Worldpay using the equity method of accounting. During the period from February 1, 2024 through January 8, 2026, our share of the net income of Worldpay was reported as Equity method investment earnings (loss), net of tax, in the consolidated statements of earnings (loss) and reflects FIS' investor-level tax impact on its investment in Worldpay. As a result of the 2026 Worldpay Minority Interest Sale, we recorded as part of Equity method investment earnings (loss) an estimated pre-tax gain of $2.2 billion in the first quarter of 2026, representing the excess of the net selling price over the carrying value of the Worldpay equity method investment as of the date of closing, adjusted for the impact of our share of Worldpay's cumulative translation adjustments recorded in accumulated other comprehensive earnings (loss). In addition, we recorded as part of Equity method investment earnings (loss) estimated tax expense of $44 million, which is net of the reversal of our Worldpay equity method investment deferred tax liability as of January 8, 2026.</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Results of Operations - Comparisons of three- and six-month periods ended June 30, 2026 and 2025</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FIS reports its financial performance based on the following segments: Banking Solutions, Capital Market Solutions, and Corporate and Other.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Adjusted EBITDA is a measure of segment profit or loss reported to the chief operating decision maker, the Company's Chief Executive Officer and President, for purposes of making decisions about allocating resources to the segments and assessing their performance. For this reason, Adjusted EBITDA, as it relates to our segments, is presented in conformity with FASB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Adjusted EBITDA is defined as net earnings (loss) before net interest expense, net other income (expense), income tax provision (benefit), equity method investment earnings (loss), and depreciation and amortization, and excludes certain costs that do not constitute normal, recurring, cash operating expenses necessary to operate our business. These excluded costs generally consist of the purchase price amortization of acquired intangible assets, as well as acquisition, integration and certain other costs and asset impairments. Financial information, including details of Adjusted EBITDA, for each of our segments is set forth in Note 11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Banking Solutions</w:t>
      </w:r>
    </w:p>
    <w:p>
      <w:pPr>
        <w:pStyle w:val="TextBody"/>
        <w:bidi w:val="0"/>
        <w:spacing w:before="0" w:after="0"/>
        <w:jc w:val="left"/>
        <w:rPr/>
      </w:pPr>
      <w:r>
        <w:rPr/>
      </w:r>
    </w:p>
    <w:tbl>
      <w:tblPr>
        <w:tblW w:w="10870" w:type="dxa"/>
        <w:jc w:val="left"/>
        <w:tblInd w:w="0" w:type="dxa"/>
        <w:tblLayout w:type="fixed"/>
        <w:tblCellMar>
          <w:top w:w="28" w:type="dxa"/>
          <w:left w:w="28" w:type="dxa"/>
          <w:bottom w:w="28" w:type="dxa"/>
          <w:right w:w="28" w:type="dxa"/>
        </w:tblCellMar>
      </w:tblPr>
      <w:tblGrid>
        <w:gridCol w:w="309"/>
        <w:gridCol w:w="272"/>
        <w:gridCol w:w="275"/>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180"/>
        <w:gridCol w:w="181"/>
        <w:gridCol w:w="417"/>
        <w:gridCol w:w="109"/>
        <w:gridCol w:w="109"/>
        <w:gridCol w:w="1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80"/>
        <w:gridCol w:w="181"/>
        <w:gridCol w:w="472"/>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basis points change</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Banking segment increased 44% for the three months ended June 30, 2026, primarily due to the revenue generated by the Issuer Solutions Business, which was acquired on January 9, 2026. Excluding the impact of the Issuer Solutions Business, Banking revenue grew 6%, driven by increases in recurring revenue and software license revenue.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due to the acquisition of the Issuer Solutions Business. Excluding the impact of the Issuer Solutions Business, Adjusted EBITDA increased year over year primarily due to the revenue increases noted above, favorable revenue mix, and the impact of continued cost management. Adjusted EBITDA margin increased year over year due to the accretive impact of the Issuer Solutions Business, operating leverage on increased revenues, and cost management.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Six months ended June 30:</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Banking segment increased 45% for the six months ended June 30, 2026, primarily due to the revenue generated by the Issuer Solutions Business, which was acquired on January 9, 2026. Excluding the impact of the Issuer Solutions Business, Banking revenue grew 7%, driven by increases in recurring revenue and software license revenue, which were partially offset by a decline in professional services revenue.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due to the acquisition of the Issuer Solutions Business. Excluding the impact of the Issuer Solutions Business, Adjusted EBITDA increased year over year primarily due to the revenue increases noted above, favorable revenue mix, and the impact of continued cost management. Adjusted EBITDA margin increased year over year due to the accretive impact of the Issuer Solutions Business, favorable revenue mix and cost management.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Market Solutions</w:t>
      </w:r>
    </w:p>
    <w:p>
      <w:pPr>
        <w:pStyle w:val="TextBody"/>
        <w:bidi w:val="0"/>
        <w:spacing w:before="0" w:after="0"/>
        <w:jc w:val="left"/>
        <w:rPr/>
      </w:pPr>
      <w:r>
        <w:rPr/>
      </w:r>
    </w:p>
    <w:tbl>
      <w:tblPr>
        <w:tblW w:w="10286" w:type="dxa"/>
        <w:jc w:val="left"/>
        <w:tblInd w:w="0" w:type="dxa"/>
        <w:tblLayout w:type="fixed"/>
        <w:tblCellMar>
          <w:top w:w="28" w:type="dxa"/>
          <w:left w:w="28" w:type="dxa"/>
          <w:bottom w:w="28" w:type="dxa"/>
          <w:right w:w="28" w:type="dxa"/>
        </w:tblCellMar>
      </w:tblPr>
      <w:tblGrid>
        <w:gridCol w:w="309"/>
        <w:gridCol w:w="272"/>
        <w:gridCol w:w="275"/>
        <w:gridCol w:w="211"/>
        <w:gridCol w:w="466"/>
        <w:gridCol w:w="271"/>
        <w:gridCol w:w="109"/>
        <w:gridCol w:w="109"/>
        <w:gridCol w:w="109"/>
        <w:gridCol w:w="211"/>
        <w:gridCol w:w="466"/>
        <w:gridCol w:w="271"/>
        <w:gridCol w:w="109"/>
        <w:gridCol w:w="109"/>
        <w:gridCol w:w="109"/>
        <w:gridCol w:w="232"/>
        <w:gridCol w:w="398"/>
        <w:gridCol w:w="121"/>
        <w:gridCol w:w="109"/>
        <w:gridCol w:w="109"/>
        <w:gridCol w:w="109"/>
        <w:gridCol w:w="167"/>
        <w:gridCol w:w="167"/>
        <w:gridCol w:w="417"/>
        <w:gridCol w:w="109"/>
        <w:gridCol w:w="109"/>
        <w:gridCol w:w="109"/>
        <w:gridCol w:w="211"/>
        <w:gridCol w:w="616"/>
        <w:gridCol w:w="271"/>
        <w:gridCol w:w="109"/>
        <w:gridCol w:w="109"/>
        <w:gridCol w:w="109"/>
        <w:gridCol w:w="211"/>
        <w:gridCol w:w="616"/>
        <w:gridCol w:w="271"/>
        <w:gridCol w:w="109"/>
        <w:gridCol w:w="109"/>
        <w:gridCol w:w="109"/>
        <w:gridCol w:w="232"/>
        <w:gridCol w:w="398"/>
        <w:gridCol w:w="121"/>
        <w:gridCol w:w="109"/>
        <w:gridCol w:w="109"/>
        <w:gridCol w:w="109"/>
        <w:gridCol w:w="162"/>
        <w:gridCol w:w="162"/>
        <w:gridCol w:w="472"/>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basis points change</w:t>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Capital Markets segment increased 3% for the three months ended June 30, 2026, driven primarily by recurring revenue which grew 5%, contributing 4% to the total segment revenue growth rate, largely from the implementation of new sales, favorable pricing, and acquisitions. Non-recurring revenue contributed 1% to the total segment growth rate, primarily due to higher software license revenue compared to the prior year, and was offset by lower professional services revenue, which contributed (2%) to segment growth.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primarily due to the revenue impacts noted above. Adjusted EBITDA margin decreased year over year primarily due to higher labor costs and the timing of certain customer-related expenses in the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Six months ended June 30:</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Capital Markets segment increased 4% for the six months ended June 30, 2026, driven primarily by recurring revenue which grew 4%, contributing 3% to the total segment revenue growth rate, largely from the implementation of new sales, favorable pricing, and acquisitions. Non-recurring revenue contributed 1% to the total segment growth rate, primarily due to higher software license revenue compared to the prior year, and was offset by lower professional services revenue, which contributed (1%) to segment growth. Foreign currency movements contributed 1% to the segment revenue growth rate, primarily driven by the movement of the Pound Sterling and Swedish Krona.</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primarily due to the revenue impacts noted above and cost management. Adjusted EBITDA margin increased year over year primarily due to operating leverage on increased revenues and cost management.</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Corporate and Other segment results consist of selling, general and administrative expenses and depreciation and intangible asset amortization not otherwise allocated to the reportable segments. Corporate and Other also includes other operating income recorded in connection with our TSA with Worldpay and the Global Payments rTSA as well as results of operations from certain non-strategic businesses.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1"/>
        <w:gridCol w:w="423"/>
        <w:gridCol w:w="428"/>
        <w:gridCol w:w="211"/>
        <w:gridCol w:w="519"/>
        <w:gridCol w:w="109"/>
        <w:gridCol w:w="109"/>
        <w:gridCol w:w="109"/>
        <w:gridCol w:w="109"/>
        <w:gridCol w:w="211"/>
        <w:gridCol w:w="519"/>
        <w:gridCol w:w="109"/>
        <w:gridCol w:w="109"/>
        <w:gridCol w:w="109"/>
        <w:gridCol w:w="109"/>
        <w:gridCol w:w="211"/>
        <w:gridCol w:w="434"/>
        <w:gridCol w:w="109"/>
        <w:gridCol w:w="109"/>
        <w:gridCol w:w="109"/>
        <w:gridCol w:w="109"/>
        <w:gridCol w:w="207"/>
        <w:gridCol w:w="207"/>
        <w:gridCol w:w="417"/>
        <w:gridCol w:w="109"/>
        <w:gridCol w:w="109"/>
        <w:gridCol w:w="109"/>
        <w:gridCol w:w="211"/>
        <w:gridCol w:w="519"/>
        <w:gridCol w:w="109"/>
        <w:gridCol w:w="109"/>
        <w:gridCol w:w="109"/>
        <w:gridCol w:w="109"/>
        <w:gridCol w:w="211"/>
        <w:gridCol w:w="519"/>
        <w:gridCol w:w="109"/>
        <w:gridCol w:w="109"/>
        <w:gridCol w:w="109"/>
        <w:gridCol w:w="109"/>
        <w:gridCol w:w="211"/>
        <w:gridCol w:w="434"/>
        <w:gridCol w:w="109"/>
        <w:gridCol w:w="109"/>
        <w:gridCol w:w="109"/>
        <w:gridCol w:w="109"/>
        <w:gridCol w:w="207"/>
        <w:gridCol w:w="207"/>
        <w:gridCol w:w="475"/>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Corporate and Other segment decreased 26% for the three months ended June 30, 2026, primarily due to the run-off of certain non-strategic businesses.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decreased compared to the prior year primarily due to the decline in revenue from non-strategic businesses noted above.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Six months ended June 30:</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Corporate and Other segment decreased 20% for the six months ended June 30, 2026, primarily due to the run-off of certain non-strategic businesses.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decreased compared to the prior year due to the decline in revenue from non-strategic businesses noted above and higher personnel-related expenses.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ongoing cash requirements include operating expenses, income taxes, debt service payments, capital expenditures, stockholder dividends, working capital and timing differences in settlement-related assets and liabilities and may include discretionary debt repayments, share repurchases and business acquisitions. Our principal sources of funds are cash generated by operations and borrowings, including the capacity under our revolving credit facilities, the U.S. commercial paper program and the Euro-commercial paper program discussed in Note 7 to the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$3.4 billion of available liquidity, including $744 million of cash and cash equivalents and $2.6 billion of capacity available under its revolving credit facilities. Approximately $447 million of cash and cash equivalents is held by our foreign entities. A portion of our domestic cash and cash equivalents relates to net deposits-in-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transit, which are typically settled within a few business days. Debt outstanding totaled $21.2 billion, with an effective weighted average interest rate of 3.8%. We intend to continue to maintain investment-grade debt ratings.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Issuer Solutions Acquisition was funded through a combination of cash consideration and the 2026 Worldpay Minority Interest Sale. The cash consideration was financed with new debt, which was refinanced with senior notes in March 2026, resulting in higher expected future cash interest payments.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level of cash and cash equivalents plus cash flows from operations will be sufficient to fund our operating cash requirements, capital expenditures and debt service payments for the next 12 months and the foreseeable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regular quarterly dividend of $0.44 per common share is payable on September 25, 2026, to shareholders of record as of the close of business on September 11, 2026. We currently expect to continue to pay quarterly dividends targeting dividend-per-share growth aligned to adjusted earnings-per-share growth. However, the amount, declaration and payment of future dividends are at the discretion of the Board of Directors and depend on, among other things, our investment opportunities (including potential mergers and acquisitions), results of operations, financial condition, cash requirements, future prospects, and other factors, including legal and contractual restrictions, that may be considered relevant by our Board of Directors. Additionally, the payment of cash dividends may be limited by covenants in certain debt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2024, the Company's Board of Directors approved a share repurchase program authorizing the repurchase of up to $3.0 billion in aggregate value of shares of our common stock. Repurchases under the program may be made from time to time at management's discretion through open market purchases, privately negotiated transactions, or pursuant to Rule 10b5-1 plans. The program does not have an expiration date and may be suspended, amended or discontinued at any time. During the quarter ended June 30, 2026, the Company repurchased approximately 1.0 million shares for approximately $42 million. As of June 30, 2026, approximately $1.7 billion remained available for repurchase under the program. Following the closing of the Issuer Solutions Acquisition, the Company has temporarily curtailed repurchases under this program and may resume at management's discretion, taking into account our target leverage ratio.</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consists primarily of net earnings, adjusted to add back depreciation and amortization and other non-cash items, including asset impairments. Cash flows from operations were $1,207 million and $839 million for the six-month periods ended June 30, 2026 and 2025, respectively. Cash flows from operations increased $368 million during the six months ended June 30, 2026, primarily due to improved operating performance.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investing activity relates to capital expenditures for software (purchased and internally developed) and property and equipment. We invested approximately $517 million and $451 million in capital expenditures (excluding purchases of certain hardware and software subject to financing or other long-term payment arrangements) during the six-month periods ended June 30, 2026 and 2025, respectively. We expect to continue investing in software and in property and equipment to support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invest in acquisitions that complement and extend our existing solutions and capabilities and provide additional solutions to our portfolio, and we dispose of assets that are no longer considered strategic. We used approximately $7,859 million and $197 million of cash (net of cash acquired) for new acquisitions during the six-month periods ended June 30, 2026 and 2025, respectively. In the first half of 2025, in connection with the conveyance of RealNet to Buyer as part of the 2024 Worldpay Sale, we divested approximately $1.4 billion in cash, cash equivalents and restricted cash included in current assets held for sale at the date of transfer. While we expect to continue to invest in acquisitions as part of our strategy to add solutions to help win new clients and cross-sell to existing clients, the Company expects to limit further investment in acquisitions to accelerate deleveraging until it returns to its target leverage ratio.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received regular cash distributions from Worldpay pursuant to the terms of a Limited Liability Company Operating Agreement until the completion of the 2026 Worldpay Minority Interest Sale. During the six months ended June 30, 2026 and 2025, we received distributions of $32 million and $66 million, respectively, from Worldpay recorded as investing cash flows.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investing also occasionally include cash received or paid relative to other activities that are not regularly recurring in nature. </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principally involve borrowing funds, repaying debt, repurchasing shares and paying dividends. For information regarding the Company's debt and financing activity, see "Risk Factors—Risks Related to Our Indebtedness" in Item 1A and "Quantitative and Qualitative Disclosures About Market Risk" of our Annual Report on Form 10-K filed on February 24, 2026, and "Quantitative and Qualitative Disclosures About Market Risk—Interest Rate Risk" in Item 3 below as well as Notes 7 and 8 to the consolidated financial statements.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in our contractual obligations through the six months ended June 30, 2026, in comparison to the table included in our Annual Report on Form 10-K for the year ended December 31, 2025, except as disclosed in Notes 7 and 8 to the consolidated financial statements.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 to the consolidated financial statements for information on recently adopted accounting guidance and recent accounting guidance not yet adopted.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primarily from changes in interest rates and foreign currency exchange rates. We periodically use certain derivative financial instruments, including interest rate swaps, cross-currency interest rate swaps and foreign currency forward contracts, to manage interest rate and foreign currency risk. We do not use derivatives for trading purposes, to generate income or to engage in speculative activity.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existing cash balances and cash provided by operating activities, we use fixed-rate and variable-rate debt to finance our operations. We are exposed to interest rate risk on these debt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fixed rate senior notes (as included in Note 7 to the consolidated financial statements) represent the majority of our fixed-rate long-term debt obligations as of June 30, 2026. Excluding unamortized discounts and the fair value basis adjustments due to interest rate swaps described below, the carrying value of our senior notes was $16.9 billion as of June 30, 2026. The fair value of our fixed-rate senior notes was approximately $16.1 billion as of June 30, 2026. The potential reduction in fair value of the fixed-rate senior notes from a hypothetical 10% increase in market interest rates would not be material to the overall fair value of the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variable-rate risk principally relates to our EUR floating rate senior notes and borrowings under our U.S. commercial paper program, Euro-commercial paper program, and revolving credit facilities (as included in Note 7 to the consolidated financial statements) (collectively, "variable-rate debt"). The variable-rate risk on USD floating rate senior notes is hedged using interest rate swaps as cash flow hedges (see Note 8). At June 30, 2026, our weighted-average cost of debt was 3.8%, with a weighted-average maturity of 3.8 years, and 76% of our debt was fixed rate, and the remaining 24% was variable-rate debt, inclusive of fair value basis adjustments due to interest rate swaps. A 100 basis-point increase in the weighted-average interest rate on our variable-rate debt as of June 30, 2026, would have increased our annual interest expense by $50 million. We performed the foregoing sensitivity analysis based solely on the outstanding balance of our variable-rate debt as of June 30, 2026. This sensitivity analysis does not take into account any changes that occurred in the prior 12 months or that may take place in the next 12 months in the amount of our outstanding debt. Further, this sensitivity analysis assumes the change in interest rates is applicable for an entire year. For comparison purposes, based on the outstanding balance of our variable-rate debt as of June 30, 2025, and calculated in the same manner as set forth above, an increase of 100 basis points in the weighted-average interest rate would have increased our annual interest expense by approximately $17 million.</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We may manage the exposure to these risks through a combination of normal operating activities and the use of foreign currency forward contracts and non-derivative and derivative instruments.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exposure to foreign currency exchange risks generally arises from our non-U.S. operations, to the extent they are conducted in local currency. Changes in foreign currency exchange rates affect translations of revenue denominated in currencies other than the U.S. Dollar. We generated approximately $490 million and $313 million during the three months and $971 million and $619 million during the six months ended June 30, 2026 and 2025, respectively, in revenue denominated in currencies other than the U.S. Dollar. The major currencies to which our revenue is exposed are the British Pound Sterling, Euro, Australian Dollar, Swedish Krona, Brazilian Real, Swiss Franc and Canadian Dollar. A 10% movement in average exchange rates for these currencies (assuming a simultaneous and immediate 10% change in all of such rates for the relevant period) would have resulted in the following increase or decrease in our reported revenue for the three and six months ended June 30, 2026 and 2025 (in millions): </w:t>
      </w:r>
    </w:p>
    <w:tbl>
      <w:tblPr>
        <w:tblW w:w="6281" w:type="dxa"/>
        <w:jc w:val="left"/>
        <w:tblInd w:w="0" w:type="dxa"/>
        <w:tblLayout w:type="fixed"/>
        <w:tblCellMar>
          <w:top w:w="28" w:type="dxa"/>
          <w:left w:w="28" w:type="dxa"/>
          <w:bottom w:w="28" w:type="dxa"/>
          <w:right w:w="28" w:type="dxa"/>
        </w:tblCellMar>
      </w:tblPr>
      <w:tblGrid>
        <w:gridCol w:w="799"/>
        <w:gridCol w:w="702"/>
        <w:gridCol w:w="703"/>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Pound Sterling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Swedish Krona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Swiss Franc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or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results of operations have been impacted by the effects of currency fluctuations, our international operations' revenue and expenses are generally denominated in local currency, which reduces our economic exposure to foreign exchange risk in those jurisdictions.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foreign exchange risk management policy permits the use of derivative instruments, such as forward contracts and options, to reduce volatility in our results of operations and/or cash flows resulting from foreign exchange rate fluctuations. We do not enter into foreign currency derivative instruments for trading purposes or to engage in speculative activity. We do periodically enter into foreign currency forward contracts to hedge foreign currency exposure to intercompany loans, other balance sheet items or expected foreign currency cash flows resulting from forecasted transactions. The Company also utilizes foreign currency-denominated debt and cross-currency interest rate swaps designated as net investment hedges in order to reduce the volatility of the net investment value of certain of its non-U.S. dollar functional currency subsidiaries and utilizes cross-currency interest rate swaps designated as fair value hedges in order to mitigate the impact of foreign currency risk associated with our foreign currency-denominated debt (see Note 8 to the consolidated financial statements).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(the "Exchange Act"). Based on this evaluation, our principal executive officer and principal financial officer concluded that our disclosure controls and procedures were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the Issuer Solutions Acquisition on January 9, 2026 (see Notes 1 and 3 of the Notes to Condensed consolidated financial statements). The scope of management's assessment of the effectiveness of the Company's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 did not include the internal controls over financial reporting of the Issuer Solutions Business. This exclusion is in accordance with the SEC Staff's general guidance that an assessment of a recently acquired business may be omitted from the scope of management's assessment for one year following the acquisition. The Issuer Solutions Business represented approximately 19% of our gross revenue for the quarter ended June 30, 2026. Total assets of the acquired business as of June 30, 2026, represented approximately 33% of total consolidated assets, consisting principally of goodwill, software and other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Issuer Solutions Acquisition, we are in the process of integrating internal controls over significant processes specific to the acquisition that we believe are appropriate and necessary in consideration of the level of related integration. As the post-closing integration continues, we will continue to review the internal controls and processes of the Issuer Solutions Business and may take further steps to integrate such controls and processes with those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this ongoing integration there have been no changes in our internal control over financial reporting that occurred during the most recent fiscal quarter that have materially affected, or are reasonably likely to materially affect, our internal control over financial reporting.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See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 xml:space="preserve">in our Annual Report on Form 10-K for the year ended December 31, 2025, for a detailed discussion of risk factors affecting the Company. There have been no material changes in the risk factors described therein.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0" w:name="i12a4f1561ea74b76b304610042c3f5a0_916"/>
      <w:bookmarkEnd w:id="0"/>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purchases of equity securities by the issuer during the three-month period ended June 30, 2026:</w:t>
      </w:r>
    </w:p>
    <w:p>
      <w:pPr>
        <w:pStyle w:val="TextBody"/>
        <w:bidi w:val="0"/>
        <w:spacing w:before="0" w:after="0"/>
        <w:ind w:left="0" w:right="0" w:firstLine="360"/>
        <w:jc w:val="left"/>
        <w:rPr/>
      </w:pPr>
      <w:r>
        <w:rPr/>
      </w:r>
    </w:p>
    <w:tbl>
      <w:tblPr>
        <w:tblW w:w="9480"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607"/>
        <w:gridCol w:w="607"/>
        <w:gridCol w:w="615"/>
        <w:gridCol w:w="109"/>
        <w:gridCol w:w="109"/>
        <w:gridCol w:w="109"/>
        <w:gridCol w:w="297"/>
        <w:gridCol w:w="869"/>
        <w:gridCol w:w="153"/>
        <w:gridCol w:w="109"/>
        <w:gridCol w:w="109"/>
        <w:gridCol w:w="109"/>
        <w:gridCol w:w="495"/>
        <w:gridCol w:w="1200"/>
        <w:gridCol w:w="254"/>
        <w:gridCol w:w="109"/>
        <w:gridCol w:w="109"/>
        <w:gridCol w:w="109"/>
        <w:gridCol w:w="343"/>
        <w:gridCol w:w="1006"/>
        <w:gridCol w:w="25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cost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purchased as part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publicly announced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Remaining</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Authorization (1)</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August 2024, our Board of Directors approved a share repurchase program authorizing the repurchase of up to $3.0 billion in aggregate value of shares of our common stock. Repurchases under the program may be made from time to time at management's discretion through open market purchases, privately negotiated transactions, or pursuant to Rule 10b5-1 plans. The program does not have an expiration date, and may be suspended, amended or discontinued at any time. As of June 30, 2026, approximately $1.7 billion remained available for repurchase under the program.</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none of the Company's directors or executive officers adopted or terminated a Rule 10b5-1 trading arrangement or a non-Rule 10b5-1 trading arrangement (each as defined in Item 408 of Regulation S-K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6"/>
        <w:gridCol w:w="1974"/>
        <w:gridCol w:w="1892"/>
        <w:gridCol w:w="1814"/>
        <w:gridCol w:w="187"/>
        <w:gridCol w:w="187"/>
        <w:gridCol w:w="160"/>
        <w:gridCol w:w="275"/>
        <w:gridCol w:w="275"/>
        <w:gridCol w:w="218"/>
        <w:gridCol w:w="240"/>
        <w:gridCol w:w="240"/>
        <w:gridCol w:w="241"/>
        <w:gridCol w:w="233"/>
        <w:gridCol w:w="233"/>
        <w:gridCol w:w="234"/>
        <w:gridCol w:w="433"/>
        <w:gridCol w:w="248"/>
        <w:gridCol w:w="3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723"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3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6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68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76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70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6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568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00"/>
                  <w:sz w:val="20"/>
                  <w:u w:val="single"/>
                </w:rPr>
                <w:t>Certification of Stephanie Ferris, Chief Executive Officer of Fidelity National Information Services, Inc., pursuant to rule 13a-14(a) or 15d-14(a) of the Exchange Act, as adopted pursuant to Section 302 of the Sarbanes-Oxley Act of 2002.</w:t>
              </w:r>
            </w:hyperlink>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5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00"/>
                  <w:sz w:val="20"/>
                  <w:u w:val="single"/>
                </w:rPr>
                <w:t>Certification of James Kehoe, Chief Financial Officer of Fidelity National Information Services, Inc., pursuant to rule 13a-14(a) or 15d-14(a) of the Exchange Act, as adopted pursuant to Section 302 of the Sarbanes-Oxley Act of 2002.</w:t>
              </w:r>
            </w:hyperlink>
          </w:p>
        </w:tc>
        <w:tc>
          <w:tcPr>
            <w:tcW w:w="53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568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Times New Roman;serif" w:hAnsi="Times New Roman;serif"/>
                  <w:b w:val="false"/>
                  <w:color w:val="000000"/>
                  <w:sz w:val="20"/>
                  <w:u w:val="single"/>
                </w:rPr>
                <w:t>Certification of Stephanie Ferris, Chief Executive Officer of Fidelity National Information Services, Inc., pursuant to 18 U.S.C. Section 1350, as adopted pursuant to Section 906 of the Sarbanes-Oxley Act of 2002.</w:t>
              </w:r>
            </w:hyperlink>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5680"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Times New Roman;serif" w:hAnsi="Times New Roman;serif"/>
                  <w:b w:val="false"/>
                  <w:color w:val="000000"/>
                  <w:sz w:val="20"/>
                  <w:u w:val="single"/>
                </w:rPr>
                <w:t>Certification of James Kehoe, Chief Financial Officer of Fidelity National Information Services, Inc., pursuant to 18 U.S.C. Section 1350, as adopted pursuant to Section 906 of the Sarbanes-Oxley Act of 2002.</w:t>
              </w:r>
            </w:hyperlink>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68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680"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568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680"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68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680"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680"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 exhibit 101).</w:t>
            </w:r>
          </w:p>
        </w:tc>
        <w:tc>
          <w:tcPr>
            <w:tcW w:w="534"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vAlign w:val="center"/>
          </w:tcPr>
          <w:p>
            <w:pPr>
              <w:pStyle w:val="TableContents"/>
              <w:bidi w:val="0"/>
              <w:spacing w:before="0" w:after="283"/>
              <w:jc w:val="left"/>
              <w:rPr>
                <w:sz w:val="4"/>
                <w:szCs w:val="4"/>
              </w:rPr>
            </w:pPr>
            <w:r>
              <w:rPr>
                <w:sz w:val="4"/>
                <w:szCs w:val="4"/>
              </w:rPr>
            </w:r>
          </w:p>
        </w:tc>
        <w:tc>
          <w:tcPr>
            <w:tcW w:w="568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767" w:type="dxa"/>
            <w:gridSpan w:val="3"/>
            <w:tcBorders/>
            <w:vAlign w:val="center"/>
          </w:tcPr>
          <w:p>
            <w:pPr>
              <w:pStyle w:val="TableContents"/>
              <w:bidi w:val="0"/>
              <w:spacing w:before="0" w:after="283"/>
              <w:jc w:val="left"/>
              <w:rPr>
                <w:sz w:val="4"/>
                <w:szCs w:val="4"/>
              </w:rPr>
            </w:pPr>
            <w:r>
              <w:rPr>
                <w:sz w:val="4"/>
                <w:szCs w:val="4"/>
              </w:rPr>
            </w:r>
          </w:p>
        </w:tc>
        <w:tc>
          <w:tcPr>
            <w:tcW w:w="568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Filed or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dec72cbaa4348f6a20a6b05b9d250c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670" w:type="dxa"/>
        <w:jc w:val="left"/>
        <w:tblInd w:w="0" w:type="dxa"/>
        <w:tblLayout w:type="fixed"/>
        <w:tblCellMar>
          <w:top w:w="28" w:type="dxa"/>
          <w:left w:w="28" w:type="dxa"/>
          <w:bottom w:w="28" w:type="dxa"/>
          <w:right w:w="28" w:type="dxa"/>
        </w:tblCellMar>
      </w:tblPr>
      <w:tblGrid>
        <w:gridCol w:w="667"/>
        <w:gridCol w:w="587"/>
        <w:gridCol w:w="590"/>
        <w:gridCol w:w="750"/>
        <w:gridCol w:w="750"/>
        <w:gridCol w:w="750"/>
        <w:gridCol w:w="750"/>
        <w:gridCol w:w="750"/>
        <w:gridCol w:w="10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p>
            <w:pPr>
              <w:pStyle w:val="TableContents"/>
              <w:bidi w:val="0"/>
              <w:spacing w:lineRule="auto" w:line="240" w:before="0" w:after="0"/>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tbl>
      <w:tblPr>
        <w:tblW w:w="8848" w:type="dxa"/>
        <w:jc w:val="left"/>
        <w:tblInd w:w="0" w:type="dxa"/>
        <w:tblLayout w:type="fixed"/>
        <w:tblCellMar>
          <w:top w:w="28" w:type="dxa"/>
          <w:left w:w="28" w:type="dxa"/>
          <w:bottom w:w="28" w:type="dxa"/>
          <w:right w:w="28" w:type="dxa"/>
        </w:tblCellMar>
      </w:tblPr>
      <w:tblGrid>
        <w:gridCol w:w="667"/>
        <w:gridCol w:w="587"/>
        <w:gridCol w:w="590"/>
        <w:gridCol w:w="750"/>
        <w:gridCol w:w="750"/>
        <w:gridCol w:w="750"/>
        <w:gridCol w:w="1384"/>
        <w:gridCol w:w="1384"/>
        <w:gridCol w:w="198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Brooks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Alexandra Brooks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 (Principal Accounting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Stephanie Ferris, certify that: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Fidelity National Information Services, Inc.;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tbl>
      <w:tblPr>
        <w:tblW w:w="451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4"/>
        <w:gridCol w:w="164"/>
        <w:gridCol w:w="166"/>
        <w:gridCol w:w="619"/>
        <w:gridCol w:w="619"/>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James Kehoe, certify that: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Fidelity National Information Services, Inc.;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5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4"/>
        <w:gridCol w:w="164"/>
        <w:gridCol w:w="166"/>
        <w:gridCol w:w="602"/>
        <w:gridCol w:w="602"/>
        <w:gridCol w:w="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pPr>
      <w:r>
        <w:rPr>
          <w:rFonts w:ascii="Times New Roman;serif" w:hAnsi="Times New Roman;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The undersigned hereby certifies that she is the duly appointed and acting Chief Executive Officer of Fidelity National Information Services, Inc., a Georgia corporation (the “Company”), and hereby further certifies as follows.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his signature below. </w:t>
      </w:r>
    </w:p>
    <w:p>
      <w:pPr>
        <w:pStyle w:val="TextBody"/>
        <w:bidi w:val="0"/>
        <w:spacing w:before="60" w:after="283"/>
        <w:jc w:val="left"/>
        <w:rPr/>
      </w:pPr>
      <w:r>
        <w:rPr/>
      </w:r>
    </w:p>
    <w:tbl>
      <w:tblPr>
        <w:tblW w:w="446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4"/>
        <w:gridCol w:w="164"/>
        <w:gridCol w:w="166"/>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6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The undersigned hereby certifies that he is the duly appointed and acting Chief Financial Officer of Fidelity National Information Services, Inc., a Georgia corporation (the “Company”), and hereby further certifies as follows.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his signature below. </w:t>
      </w:r>
    </w:p>
    <w:tbl>
      <w:tblPr>
        <w:tblW w:w="445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4"/>
        <w:gridCol w:w="164"/>
        <w:gridCol w:w="166"/>
        <w:gridCol w:w="602"/>
        <w:gridCol w:w="602"/>
        <w:gridCol w:w="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r>
    </w:tbl>
    <w:p>
      <w:pPr>
        <w:pStyle w:val="TextBody"/>
        <w:bidi w:val="0"/>
        <w:spacing w:before="6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25020</Words>
  <Characters>140874</Characters>
  <CharactersWithSpaces>163879</CharactersWithSpaces>
  <Paragraphs>3527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