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Fidelity National Information Services,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797"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64"/>
        <w:spacing w:after="0"/>
        <w:rPr>
          <w:sz w:val="20"/>
          <w:szCs w:val="20"/>
          <w:color w:val="auto"/>
        </w:rPr>
      </w:pPr>
      <w:r>
        <w:rPr>
          <w:rFonts w:ascii="Times New Roman" w:cs="Times New Roman" w:eastAsia="Times New Roman" w:hAnsi="Times New Roman"/>
          <w:sz w:val="18"/>
          <w:szCs w:val="18"/>
          <w:b w:val="1"/>
          <w:bCs w:val="1"/>
          <w:color w:val="auto"/>
        </w:rPr>
        <w:t>Georgia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1-16427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37-1490331</w:t>
      </w:r>
    </w:p>
    <w:p>
      <w:pPr>
        <w:spacing w:after="0" w:line="23" w:lineRule="exact"/>
        <w:rPr>
          <w:sz w:val="24"/>
          <w:szCs w:val="24"/>
          <w:color w:val="auto"/>
        </w:rPr>
      </w:pPr>
    </w:p>
    <w:p>
      <w:pPr>
        <w:sectPr>
          <w:pgSz w:w="11900" w:h="16838" w:orient="portrait"/>
          <w:cols w:equalWidth="0" w:num="3">
            <w:col w:w="4604" w:space="720"/>
            <w:col w:w="2780" w:space="720"/>
            <w:col w:w="2200"/>
          </w:cols>
          <w:pgMar w:left="436" w:top="376" w:right="439" w:bottom="797"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797" w:gutter="0" w:footer="0" w:header="0"/>
          <w:type w:val="continuous"/>
        </w:sectPr>
      </w:pPr>
    </w:p>
    <w:p>
      <w:pPr>
        <w:spacing w:after="0" w:line="15" w:lineRule="exact"/>
        <w:rPr>
          <w:sz w:val="24"/>
          <w:szCs w:val="24"/>
          <w:color w:val="auto"/>
        </w:rPr>
      </w:pPr>
    </w:p>
    <w:p>
      <w:pPr>
        <w:ind w:left="1944"/>
        <w:spacing w:after="0"/>
        <w:rPr>
          <w:sz w:val="20"/>
          <w:szCs w:val="20"/>
          <w:color w:val="auto"/>
        </w:rPr>
      </w:pPr>
      <w:r>
        <w:rPr>
          <w:rFonts w:ascii="Times New Roman" w:cs="Times New Roman" w:eastAsia="Times New Roman" w:hAnsi="Times New Roman"/>
          <w:sz w:val="17"/>
          <w:szCs w:val="17"/>
          <w:b w:val="1"/>
          <w:bCs w:val="1"/>
          <w:color w:val="auto"/>
        </w:rPr>
        <w:t>347 Riverside Avenue</w:t>
      </w:r>
    </w:p>
    <w:p>
      <w:pPr>
        <w:spacing w:after="0" w:line="43" w:lineRule="exact"/>
        <w:rPr>
          <w:sz w:val="24"/>
          <w:szCs w:val="24"/>
          <w:color w:val="auto"/>
        </w:rPr>
      </w:pPr>
    </w:p>
    <w:p>
      <w:pPr>
        <w:ind w:left="1984"/>
        <w:spacing w:after="0"/>
        <w:rPr>
          <w:sz w:val="20"/>
          <w:szCs w:val="20"/>
          <w:color w:val="auto"/>
        </w:rPr>
      </w:pPr>
      <w:r>
        <w:rPr>
          <w:rFonts w:ascii="Times New Roman" w:cs="Times New Roman" w:eastAsia="Times New Roman" w:hAnsi="Times New Roman"/>
          <w:sz w:val="18"/>
          <w:szCs w:val="18"/>
          <w:b w:val="1"/>
          <w:bCs w:val="1"/>
          <w:color w:val="auto"/>
        </w:rPr>
        <w:t>Jacksonville, Florida</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32202</w:t>
      </w:r>
    </w:p>
    <w:p>
      <w:pPr>
        <w:spacing w:after="0" w:line="42" w:lineRule="exact"/>
        <w:rPr>
          <w:sz w:val="24"/>
          <w:szCs w:val="24"/>
          <w:color w:val="auto"/>
        </w:rPr>
      </w:pPr>
    </w:p>
    <w:p>
      <w:pPr>
        <w:sectPr>
          <w:pgSz w:w="11900" w:h="16838" w:orient="portrait"/>
          <w:cols w:equalWidth="0" w:num="2">
            <w:col w:w="7404" w:space="720"/>
            <w:col w:w="2900"/>
          </w:cols>
          <w:pgMar w:left="436" w:top="376" w:right="439" w:bottom="797"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797"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(904) 438-6000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FIS</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1.500% Senior Notes due 2027</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FIS27</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1.000% Senior Notes due 2028</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FIS28</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Floating Rate Senior Notes due 2028</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FIS28C</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2.250% Senior Notes due 2029</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FIS29A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2.000% Senior Notes due 2030</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FIS30</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3.450% Senior Notes due 2030</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FIS30A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3.360% Senior Notes due 2031</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FIS31</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2.950% Senior Notes due 2039</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FIS39</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797"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2026 Annual Meeting of Shareholders (the “Annual Meeting”) of Fidelity National Information Services, Inc. (the “Company”) was held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10, 2026. At the Annual Meeting, the shareholders of the Company voted on the following matters submitted to them for consideration:</w:t>
      </w:r>
    </w:p>
    <w:p>
      <w:pPr>
        <w:spacing w:after="0" w:line="207" w:lineRule="exact"/>
        <w:rPr>
          <w:sz w:val="20"/>
          <w:szCs w:val="20"/>
          <w:color w:val="auto"/>
        </w:rPr>
      </w:pPr>
    </w:p>
    <w:p>
      <w:pPr>
        <w:ind w:right="80" w:firstLine="436"/>
        <w:spacing w:after="0" w:line="282"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shareholders elected all persons nominated as directors to serve until the Company’s 2027 Annual Meeting of Shareholders, as set forth in the Proxy Statement, with the following voting results:</w:t>
      </w:r>
    </w:p>
    <w:p>
      <w:pPr>
        <w:spacing w:after="0" w:line="184" w:lineRule="exact"/>
        <w:rPr>
          <w:sz w:val="20"/>
          <w:szCs w:val="20"/>
          <w:color w:val="auto"/>
        </w:rPr>
      </w:pPr>
    </w:p>
    <w:tbl>
      <w:tblPr>
        <w:tblLayout w:type="fixed"/>
        <w:tblInd w:w="440" w:type="dxa"/>
        <w:tblCellMar>
          <w:top w:w="0" w:type="dxa"/>
          <w:left w:w="0" w:type="dxa"/>
          <w:bottom w:w="0" w:type="dxa"/>
          <w:right w:w="0" w:type="dxa"/>
        </w:tblCellMar>
      </w:tblPr>
      <w:tr>
        <w:trPr>
          <w:trHeight w:val="191"/>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Nominee</w:t>
            </w:r>
          </w:p>
        </w:tc>
        <w:tc>
          <w:tcPr>
            <w:tcW w:w="472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Votes “For”</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w w:val="97"/>
              </w:rPr>
              <w:t>Votes “Against”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8"/>
              </w:rPr>
              <w:t>Abstentions</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98"/>
              </w:rPr>
              <w:t>Broker Non-Votes</w:t>
            </w:r>
          </w:p>
        </w:tc>
      </w:tr>
      <w:tr>
        <w:trPr>
          <w:trHeight w:val="203"/>
        </w:trPr>
        <w:tc>
          <w:tcPr>
            <w:tcW w:w="52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Nicole M. Anasenes</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422,545,237</w:t>
            </w:r>
          </w:p>
        </w:tc>
        <w:tc>
          <w:tcPr>
            <w:tcW w:w="4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5,055,469</w:t>
            </w:r>
          </w:p>
        </w:tc>
        <w:tc>
          <w:tcPr>
            <w:tcW w:w="4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813,586</w:t>
            </w: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36,928,294</w:t>
            </w: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Anil Chakravarthy</w:t>
            </w: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425,077,243</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2,526,478</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810,571</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36,928,294</w:t>
            </w: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Stephanie L. Ferris</w:t>
            </w:r>
          </w:p>
        </w:tc>
        <w:tc>
          <w:tcPr>
            <w:tcW w:w="14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422,351,841</w:t>
            </w: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5,253,994</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808,457</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36,928,294</w:t>
            </w: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Kourtney K. Gibson</w:t>
            </w: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423,224,947</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4,376,249</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813,096</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36,928,294</w:t>
            </w: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A. Goldstein</w:t>
            </w:r>
          </w:p>
        </w:tc>
        <w:tc>
          <w:tcPr>
            <w:tcW w:w="14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417,016,892</w:t>
            </w: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10,582,978</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814,422</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36,928,294</w:t>
            </w: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Lisa A. Hook</w:t>
            </w: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416,700,166</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10,904,821</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809,305</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36,928,294</w:t>
            </w: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Kenneth T. Lamneck</w:t>
            </w:r>
          </w:p>
        </w:tc>
        <w:tc>
          <w:tcPr>
            <w:tcW w:w="14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416,774,196</w:t>
            </w: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10,823,754</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816,342</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36,928,294</w:t>
            </w: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Gary L. Lauer</w:t>
            </w: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403,656,392</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23,940,286</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817,614</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36,928,294</w:t>
            </w: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B. Stallings, Jr.</w:t>
            </w:r>
          </w:p>
        </w:tc>
        <w:tc>
          <w:tcPr>
            <w:tcW w:w="14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416,966,416</w:t>
            </w: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10,628,961</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818,915</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36,928,294</w:t>
            </w:r>
          </w:p>
        </w:tc>
      </w:tr>
    </w:tbl>
    <w:p>
      <w:pPr>
        <w:spacing w:after="0" w:line="198" w:lineRule="exact"/>
        <w:rPr>
          <w:sz w:val="20"/>
          <w:szCs w:val="20"/>
          <w:color w:val="auto"/>
        </w:rPr>
      </w:pPr>
    </w:p>
    <w:p>
      <w:pPr>
        <w:ind w:right="220" w:firstLine="436"/>
        <w:spacing w:after="0" w:line="282"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shareholders approved, on an advisory and non-binding basis, the compensation of the Company’s named executive officers, with 301,711,970 votes for, 125,371,576 votes against, 1,330,746 abstentions and 36,928,294 broker non-votes.</w:t>
      </w:r>
    </w:p>
    <w:p>
      <w:pPr>
        <w:spacing w:after="0" w:line="161" w:lineRule="exact"/>
        <w:rPr>
          <w:rFonts w:ascii="Times New Roman" w:cs="Times New Roman" w:eastAsia="Times New Roman" w:hAnsi="Times New Roman"/>
          <w:sz w:val="18"/>
          <w:szCs w:val="18"/>
          <w:color w:val="auto"/>
        </w:rPr>
      </w:pPr>
    </w:p>
    <w:p>
      <w:pPr>
        <w:ind w:firstLine="436"/>
        <w:spacing w:after="0" w:line="282"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shareholders ratified the appointment of KPMG LLP as the Company’s independent registered public accounting firm for 2026, with 438,020,543 votes for, 25,510,333 votes against and 1,811,710 abstentions.</w:t>
      </w:r>
    </w:p>
    <w:p>
      <w:pPr>
        <w:sectPr>
          <w:pgSz w:w="11900" w:h="16838" w:orient="portrait"/>
          <w:cols w:equalWidth="0" w:num="1">
            <w:col w:w="11000"/>
          </w:cols>
          <w:pgMar w:left="440"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June 12, 2026</w:t>
            </w: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Fidelity National Information Services, Inc.</w:t>
            </w:r>
          </w:p>
        </w:tc>
      </w:tr>
      <w:tr>
        <w:trPr>
          <w:trHeight w:val="459"/>
        </w:trPr>
        <w:tc>
          <w:tcPr>
            <w:tcW w:w="3480" w:type="dxa"/>
            <w:vAlign w:val="bottom"/>
          </w:tcPr>
          <w:p>
            <w:pPr>
              <w:spacing w:after="0"/>
              <w:rPr>
                <w:sz w:val="24"/>
                <w:szCs w:val="24"/>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(Registrant)</w:t>
            </w:r>
          </w:p>
        </w:tc>
      </w:tr>
      <w:tr>
        <w:trPr>
          <w:trHeight w:val="446"/>
        </w:trPr>
        <w:tc>
          <w:tcPr>
            <w:tcW w:w="3480" w:type="dxa"/>
            <w:vAlign w:val="bottom"/>
          </w:tcPr>
          <w:p>
            <w:pPr>
              <w:spacing w:after="0"/>
              <w:rPr>
                <w:sz w:val="24"/>
                <w:szCs w:val="24"/>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Caroline Tsai</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Caroline Tsai</w:t>
            </w:r>
          </w:p>
        </w:tc>
      </w:tr>
      <w:tr>
        <w:trPr>
          <w:trHeight w:val="216"/>
        </w:trPr>
        <w:tc>
          <w:tcPr>
            <w:tcW w:w="3480" w:type="dxa"/>
            <w:vAlign w:val="bottom"/>
          </w:tcPr>
          <w:p>
            <w:pPr>
              <w:spacing w:after="0"/>
              <w:rPr>
                <w:sz w:val="18"/>
                <w:szCs w:val="18"/>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Legal and Corporate Affairs</w:t>
            </w:r>
          </w:p>
        </w:tc>
      </w:tr>
      <w:tr>
        <w:trPr>
          <w:trHeight w:val="234"/>
        </w:trPr>
        <w:tc>
          <w:tcPr>
            <w:tcW w:w="34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Officer and Corporate Secretary</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2026-06-12T15:58:51Z</dcterms:created>
  <dcterms:modified xsi:type="dcterms:W3CDTF">2026-06-12T15:58:51Z</dcterms:modified>
</cp:coreProperties>
</file>